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3121" w14:textId="77777777" w:rsidR="009273C5" w:rsidRPr="006110C6" w:rsidRDefault="009273C5" w:rsidP="009273C5">
      <w:pPr>
        <w:ind w:right="29"/>
        <w:jc w:val="center"/>
        <w:rPr>
          <w:rFonts w:ascii="Arial" w:hAnsi="Arial" w:cs="Arial"/>
          <w:b/>
          <w:sz w:val="26"/>
          <w:szCs w:val="28"/>
          <w:lang w:val="en-CA"/>
        </w:rPr>
      </w:pPr>
      <w:r w:rsidRPr="006110C6">
        <w:rPr>
          <w:rFonts w:ascii="Arial" w:hAnsi="Arial" w:cs="Arial"/>
          <w:b/>
          <w:sz w:val="26"/>
          <w:szCs w:val="28"/>
          <w:lang w:val="en-CA"/>
        </w:rPr>
        <w:t>Career Life Connections during COVID- (INFO SHEET)</w:t>
      </w:r>
    </w:p>
    <w:p w14:paraId="742E9D65" w14:textId="77777777" w:rsidR="009273C5" w:rsidRPr="006110C6" w:rsidRDefault="009273C5" w:rsidP="009273C5">
      <w:pPr>
        <w:ind w:left="-450" w:right="-563" w:hanging="76"/>
        <w:jc w:val="center"/>
        <w:rPr>
          <w:rFonts w:ascii="Arial" w:hAnsi="Arial" w:cs="Arial"/>
          <w:b/>
          <w:szCs w:val="28"/>
          <w:lang w:val="en-CA"/>
        </w:rPr>
      </w:pPr>
      <w:r w:rsidRPr="006110C6">
        <w:rPr>
          <w:rFonts w:ascii="Arial" w:hAnsi="Arial" w:cs="Arial"/>
          <w:b/>
          <w:szCs w:val="28"/>
          <w:lang w:val="en-CA"/>
        </w:rPr>
        <w:t xml:space="preserve">A total of 4 required credits </w:t>
      </w:r>
    </w:p>
    <w:p w14:paraId="3B593243" w14:textId="77777777" w:rsidR="009273C5" w:rsidRPr="006110C6" w:rsidRDefault="009273C5" w:rsidP="009273C5">
      <w:pPr>
        <w:spacing w:after="0" w:line="240" w:lineRule="auto"/>
        <w:ind w:left="-450"/>
        <w:rPr>
          <w:rFonts w:ascii="Arial" w:hAnsi="Arial" w:cs="Arial"/>
          <w:sz w:val="20"/>
          <w:lang w:val="en-CA"/>
        </w:rPr>
      </w:pPr>
      <w:proofErr w:type="gramStart"/>
      <w:r w:rsidRPr="006110C6">
        <w:rPr>
          <w:rFonts w:ascii="Arial" w:hAnsi="Arial" w:cs="Arial"/>
          <w:sz w:val="20"/>
          <w:lang w:val="en-CA"/>
        </w:rPr>
        <w:t>In order to</w:t>
      </w:r>
      <w:proofErr w:type="gramEnd"/>
      <w:r w:rsidRPr="006110C6">
        <w:rPr>
          <w:rFonts w:ascii="Arial" w:hAnsi="Arial" w:cs="Arial"/>
          <w:sz w:val="20"/>
          <w:lang w:val="en-CA"/>
        </w:rPr>
        <w:t xml:space="preserve"> graduate, students must complete ALL of the Moscrop requirements, which come from the BC Ministry of Education’s reformed Career Life Connections curriculum.</w:t>
      </w:r>
      <w:r w:rsidRPr="006110C6">
        <w:rPr>
          <w:rFonts w:ascii="Arial" w:hAnsi="Arial" w:cs="Arial"/>
          <w:sz w:val="20"/>
          <w:lang w:val="en-CA"/>
        </w:rPr>
        <w:br/>
      </w:r>
    </w:p>
    <w:tbl>
      <w:tblPr>
        <w:tblStyle w:val="TableGrid"/>
        <w:tblW w:w="0" w:type="auto"/>
        <w:tblInd w:w="-450" w:type="dxa"/>
        <w:tblLook w:val="04A0" w:firstRow="1" w:lastRow="0" w:firstColumn="1" w:lastColumn="0" w:noHBand="0" w:noVBand="1"/>
      </w:tblPr>
      <w:tblGrid>
        <w:gridCol w:w="8749"/>
      </w:tblGrid>
      <w:tr w:rsidR="009273C5" w:rsidRPr="006110C6" w14:paraId="4880DCA8" w14:textId="77777777" w:rsidTr="00BC719D">
        <w:tc>
          <w:tcPr>
            <w:tcW w:w="8749" w:type="dxa"/>
          </w:tcPr>
          <w:p w14:paraId="67EA16DE" w14:textId="77777777" w:rsidR="009273C5" w:rsidRPr="006110C6" w:rsidRDefault="009273C5" w:rsidP="00BC719D">
            <w:pPr>
              <w:shd w:val="clear" w:color="auto" w:fill="FFFFFF"/>
              <w:spacing w:after="0" w:line="240" w:lineRule="auto"/>
              <w:textAlignment w:val="baseline"/>
              <w:rPr>
                <w:rFonts w:ascii="Arial" w:eastAsia="Times New Roman" w:hAnsi="Arial" w:cs="Arial"/>
                <w:color w:val="181818"/>
                <w:sz w:val="20"/>
                <w:szCs w:val="20"/>
                <w:lang w:eastAsia="en-US"/>
              </w:rPr>
            </w:pPr>
            <w:r w:rsidRPr="006110C6">
              <w:rPr>
                <w:rFonts w:ascii="Arial" w:eastAsia="Times New Roman" w:hAnsi="Arial" w:cs="Arial"/>
                <w:b/>
                <w:bCs/>
                <w:color w:val="181818"/>
                <w:sz w:val="20"/>
                <w:szCs w:val="20"/>
                <w:bdr w:val="none" w:sz="0" w:space="0" w:color="auto" w:frame="1"/>
                <w:lang w:eastAsia="en-US"/>
              </w:rPr>
              <w:t>Career-Life Connections</w:t>
            </w:r>
            <w:r w:rsidRPr="006110C6">
              <w:rPr>
                <w:rFonts w:ascii="Arial" w:eastAsia="Times New Roman" w:hAnsi="Arial" w:cs="Arial"/>
                <w:color w:val="181818"/>
                <w:sz w:val="20"/>
                <w:szCs w:val="20"/>
                <w:lang w:eastAsia="en-US"/>
              </w:rPr>
              <w:t> focuses on applying personal career-life management knowledge, skills, and strategies to one’s own personal life journey, and includes:</w:t>
            </w:r>
          </w:p>
          <w:p w14:paraId="1A7C3D62" w14:textId="77777777" w:rsidR="009273C5" w:rsidRPr="006110C6" w:rsidRDefault="009273C5" w:rsidP="009273C5">
            <w:pPr>
              <w:numPr>
                <w:ilvl w:val="0"/>
                <w:numId w:val="2"/>
              </w:numPr>
              <w:shd w:val="clear" w:color="auto" w:fill="FFFFFF"/>
              <w:spacing w:after="0" w:line="240" w:lineRule="auto"/>
              <w:ind w:left="1152" w:right="432"/>
              <w:textAlignment w:val="baseline"/>
              <w:rPr>
                <w:rFonts w:ascii="Arial" w:eastAsia="Times New Roman" w:hAnsi="Arial" w:cs="Arial"/>
                <w:color w:val="181818"/>
                <w:sz w:val="20"/>
                <w:szCs w:val="20"/>
                <w:lang w:eastAsia="en-US"/>
              </w:rPr>
            </w:pPr>
            <w:r w:rsidRPr="006110C6">
              <w:rPr>
                <w:rFonts w:ascii="Arial" w:eastAsia="Times New Roman" w:hAnsi="Arial" w:cs="Arial"/>
                <w:color w:val="181818"/>
                <w:sz w:val="20"/>
                <w:szCs w:val="20"/>
                <w:lang w:eastAsia="en-US"/>
              </w:rPr>
              <w:t>deepening career-life concepts and thoughtful self-knowledge to inform personal life-long learning choices and post-graduation plans</w:t>
            </w:r>
          </w:p>
          <w:p w14:paraId="2B4BA04F" w14:textId="77777777" w:rsidR="009273C5" w:rsidRPr="006110C6" w:rsidRDefault="009273C5" w:rsidP="009273C5">
            <w:pPr>
              <w:numPr>
                <w:ilvl w:val="0"/>
                <w:numId w:val="2"/>
              </w:numPr>
              <w:shd w:val="clear" w:color="auto" w:fill="FFFFFF"/>
              <w:spacing w:after="0" w:line="240" w:lineRule="auto"/>
              <w:ind w:left="1152" w:right="432"/>
              <w:textAlignment w:val="baseline"/>
              <w:rPr>
                <w:rFonts w:ascii="Arial" w:eastAsia="Times New Roman" w:hAnsi="Arial" w:cs="Arial"/>
                <w:color w:val="181818"/>
                <w:sz w:val="20"/>
                <w:szCs w:val="20"/>
                <w:lang w:eastAsia="en-US"/>
              </w:rPr>
            </w:pPr>
            <w:r w:rsidRPr="006110C6">
              <w:rPr>
                <w:rFonts w:ascii="Arial" w:eastAsia="Times New Roman" w:hAnsi="Arial" w:cs="Arial"/>
                <w:color w:val="181818"/>
                <w:sz w:val="20"/>
                <w:szCs w:val="20"/>
                <w:lang w:eastAsia="en-US"/>
              </w:rPr>
              <w:t>using self-advocacy and employment marketing strategies, such as creating one’s own effective public profiles</w:t>
            </w:r>
          </w:p>
          <w:p w14:paraId="0F51CA06" w14:textId="77777777" w:rsidR="009273C5" w:rsidRPr="006110C6" w:rsidRDefault="009273C5" w:rsidP="009273C5">
            <w:pPr>
              <w:numPr>
                <w:ilvl w:val="0"/>
                <w:numId w:val="2"/>
              </w:numPr>
              <w:shd w:val="clear" w:color="auto" w:fill="FFFFFF"/>
              <w:spacing w:after="0" w:line="240" w:lineRule="auto"/>
              <w:ind w:left="1152" w:right="432"/>
              <w:textAlignment w:val="baseline"/>
              <w:rPr>
                <w:rFonts w:ascii="Arial" w:eastAsia="Times New Roman" w:hAnsi="Arial" w:cs="Arial"/>
                <w:color w:val="181818"/>
                <w:sz w:val="20"/>
                <w:szCs w:val="20"/>
                <w:lang w:eastAsia="en-US"/>
              </w:rPr>
            </w:pPr>
            <w:r w:rsidRPr="006110C6">
              <w:rPr>
                <w:rFonts w:ascii="Arial" w:eastAsia="Times New Roman" w:hAnsi="Arial" w:cs="Arial"/>
                <w:color w:val="181818"/>
                <w:sz w:val="20"/>
                <w:szCs w:val="20"/>
                <w:lang w:eastAsia="en-US"/>
              </w:rPr>
              <w:t>employing developed social capital, such as leadership and collaboration skills, to cultivate community networks</w:t>
            </w:r>
          </w:p>
          <w:p w14:paraId="4FBFFB0E" w14:textId="77777777" w:rsidR="009273C5" w:rsidRPr="006110C6" w:rsidRDefault="009273C5" w:rsidP="009273C5">
            <w:pPr>
              <w:numPr>
                <w:ilvl w:val="0"/>
                <w:numId w:val="2"/>
              </w:numPr>
              <w:shd w:val="clear" w:color="auto" w:fill="FFFFFF"/>
              <w:spacing w:after="0" w:line="240" w:lineRule="auto"/>
              <w:ind w:left="1152" w:right="432"/>
              <w:textAlignment w:val="baseline"/>
              <w:rPr>
                <w:rFonts w:ascii="Arial" w:eastAsia="Times New Roman" w:hAnsi="Arial" w:cs="Arial"/>
                <w:color w:val="181818"/>
                <w:sz w:val="20"/>
                <w:szCs w:val="20"/>
                <w:lang w:eastAsia="en-US"/>
              </w:rPr>
            </w:pPr>
            <w:r w:rsidRPr="006110C6">
              <w:rPr>
                <w:rFonts w:ascii="Arial" w:eastAsia="Times New Roman" w:hAnsi="Arial" w:cs="Arial"/>
                <w:color w:val="181818"/>
                <w:sz w:val="20"/>
                <w:szCs w:val="20"/>
                <w:lang w:eastAsia="en-US"/>
              </w:rPr>
              <w:t>engaging in a substantive experiential learning opportunity of 30 hours or more that is intended to expand and/or deepen student exposure to career-life possibilities, such as service learning, volunteerism, employment, fieldwork projects, entrepreneurship, and passion projects</w:t>
            </w:r>
          </w:p>
          <w:p w14:paraId="130F2EBE" w14:textId="77777777" w:rsidR="009273C5" w:rsidRPr="006110C6" w:rsidRDefault="009273C5" w:rsidP="009273C5">
            <w:pPr>
              <w:numPr>
                <w:ilvl w:val="0"/>
                <w:numId w:val="2"/>
              </w:numPr>
              <w:shd w:val="clear" w:color="auto" w:fill="FFFFFF"/>
              <w:spacing w:after="0" w:line="240" w:lineRule="auto"/>
              <w:ind w:left="1152" w:right="432"/>
              <w:textAlignment w:val="baseline"/>
              <w:rPr>
                <w:rFonts w:ascii="Arial" w:eastAsia="Times New Roman" w:hAnsi="Arial" w:cs="Arial"/>
                <w:color w:val="181818"/>
                <w:sz w:val="20"/>
                <w:szCs w:val="20"/>
                <w:lang w:eastAsia="en-US"/>
              </w:rPr>
            </w:pPr>
            <w:r w:rsidRPr="006110C6">
              <w:rPr>
                <w:rFonts w:ascii="Arial" w:eastAsia="Times New Roman" w:hAnsi="Arial" w:cs="Arial"/>
                <w:color w:val="181818"/>
                <w:sz w:val="20"/>
                <w:szCs w:val="20"/>
                <w:lang w:eastAsia="en-US"/>
              </w:rPr>
              <w:t xml:space="preserve">designing, assembling, and presenting a </w:t>
            </w:r>
            <w:r>
              <w:rPr>
                <w:rFonts w:ascii="Arial" w:eastAsia="Times New Roman" w:hAnsi="Arial" w:cs="Arial"/>
                <w:color w:val="181818"/>
                <w:sz w:val="20"/>
                <w:szCs w:val="20"/>
                <w:lang w:eastAsia="en-US"/>
              </w:rPr>
              <w:t>C</w:t>
            </w:r>
            <w:r w:rsidRPr="006110C6">
              <w:rPr>
                <w:rFonts w:ascii="Arial" w:eastAsia="Times New Roman" w:hAnsi="Arial" w:cs="Arial"/>
                <w:color w:val="181818"/>
                <w:sz w:val="20"/>
                <w:szCs w:val="20"/>
                <w:lang w:eastAsia="en-US"/>
              </w:rPr>
              <w:t xml:space="preserve">apstone </w:t>
            </w:r>
            <w:r>
              <w:rPr>
                <w:rFonts w:ascii="Arial" w:eastAsia="Times New Roman" w:hAnsi="Arial" w:cs="Arial"/>
                <w:color w:val="181818"/>
                <w:sz w:val="20"/>
                <w:szCs w:val="20"/>
                <w:lang w:eastAsia="en-US"/>
              </w:rPr>
              <w:t xml:space="preserve">project </w:t>
            </w:r>
            <w:r w:rsidRPr="006110C6">
              <w:rPr>
                <w:rFonts w:ascii="Arial" w:eastAsia="Times New Roman" w:hAnsi="Arial" w:cs="Arial"/>
                <w:color w:val="181818"/>
                <w:sz w:val="20"/>
                <w:szCs w:val="20"/>
                <w:lang w:eastAsia="en-US"/>
              </w:rPr>
              <w:t>to an audience, celebrating the learning journey and next steps toward preferred futures.</w:t>
            </w:r>
          </w:p>
        </w:tc>
      </w:tr>
    </w:tbl>
    <w:p w14:paraId="129DE443" w14:textId="77777777" w:rsidR="009273C5" w:rsidRDefault="009273C5" w:rsidP="009273C5">
      <w:pPr>
        <w:ind w:left="-142" w:right="-540"/>
        <w:rPr>
          <w:rFonts w:ascii="Arial" w:hAnsi="Arial" w:cs="Arial"/>
          <w:b/>
          <w:sz w:val="20"/>
          <w:u w:val="single"/>
          <w:lang w:val="en-CA"/>
        </w:rPr>
      </w:pPr>
    </w:p>
    <w:p w14:paraId="4E4A9FE7" w14:textId="77777777" w:rsidR="009273C5" w:rsidRPr="006110C6" w:rsidRDefault="009273C5" w:rsidP="009273C5">
      <w:pPr>
        <w:ind w:left="-142" w:right="-540"/>
        <w:rPr>
          <w:rFonts w:ascii="Arial" w:hAnsi="Arial" w:cs="Arial"/>
          <w:b/>
          <w:sz w:val="20"/>
          <w:u w:val="single"/>
          <w:lang w:val="en-CA"/>
        </w:rPr>
      </w:pPr>
      <w:r w:rsidRPr="006110C6">
        <w:rPr>
          <w:rFonts w:ascii="Arial" w:hAnsi="Arial" w:cs="Arial"/>
          <w:b/>
          <w:sz w:val="20"/>
          <w:u w:val="single"/>
          <w:lang w:val="en-CA"/>
        </w:rPr>
        <w:t>Moscrop Grads will have received a total of 4 credits by completing the following:</w:t>
      </w:r>
    </w:p>
    <w:p w14:paraId="1FE53849" w14:textId="77777777" w:rsidR="009273C5" w:rsidRPr="006110C6" w:rsidRDefault="009273C5" w:rsidP="009273C5">
      <w:pPr>
        <w:spacing w:after="0" w:line="240" w:lineRule="auto"/>
        <w:ind w:left="-810"/>
        <w:rPr>
          <w:rFonts w:ascii="Arial" w:hAnsi="Arial" w:cs="Arial"/>
          <w:sz w:val="20"/>
          <w:u w:val="single"/>
          <w:lang w:val="en-CA"/>
        </w:rPr>
      </w:pPr>
      <w:r w:rsidRPr="006110C6">
        <w:rPr>
          <w:rFonts w:ascii="Arial" w:hAnsi="Arial" w:cs="Arial"/>
          <w:b/>
          <w:bCs/>
          <w:sz w:val="20"/>
          <w:u w:val="single"/>
          <w:lang w:val="en-CA"/>
        </w:rPr>
        <w:t xml:space="preserve">Grade 11 - </w:t>
      </w:r>
      <w:r w:rsidRPr="006110C6">
        <w:rPr>
          <w:rFonts w:ascii="Arial" w:hAnsi="Arial" w:cs="Arial"/>
          <w:sz w:val="20"/>
          <w:u w:val="single"/>
          <w:lang w:val="en-CA"/>
        </w:rPr>
        <w:t>Career-Life Connections A – 2 credits</w:t>
      </w:r>
    </w:p>
    <w:p w14:paraId="37AD1A6B" w14:textId="77777777" w:rsidR="009273C5" w:rsidRPr="006110C6" w:rsidRDefault="009273C5" w:rsidP="009273C5">
      <w:pPr>
        <w:spacing w:after="0" w:line="240" w:lineRule="auto"/>
        <w:ind w:left="-180"/>
        <w:rPr>
          <w:rFonts w:ascii="Arial" w:hAnsi="Arial" w:cs="Arial"/>
          <w:sz w:val="20"/>
          <w:lang w:val="en-CA"/>
        </w:rPr>
      </w:pPr>
      <w:r w:rsidRPr="006110C6">
        <w:rPr>
          <w:rFonts w:ascii="Arial" w:hAnsi="Arial" w:cs="Arial"/>
          <w:sz w:val="20"/>
          <w:lang w:val="en-CA"/>
        </w:rPr>
        <w:t xml:space="preserve">Tune in to all virtual sessions on Office 365 (sessions will be recorded for anyone who can’t make it live) and/or attend scheduled CLC classes in various FLEX times and complete </w:t>
      </w:r>
      <w:proofErr w:type="gramStart"/>
      <w:r w:rsidRPr="006110C6">
        <w:rPr>
          <w:rFonts w:ascii="Arial" w:hAnsi="Arial" w:cs="Arial"/>
          <w:sz w:val="20"/>
          <w:lang w:val="en-CA"/>
        </w:rPr>
        <w:t>a number of</w:t>
      </w:r>
      <w:proofErr w:type="gramEnd"/>
      <w:r w:rsidRPr="006110C6">
        <w:rPr>
          <w:rFonts w:ascii="Arial" w:hAnsi="Arial" w:cs="Arial"/>
          <w:sz w:val="20"/>
          <w:lang w:val="en-CA"/>
        </w:rPr>
        <w:t xml:space="preserve"> online assignments.  Students may begin or even complete their 30 hours of work or volunteer experience</w:t>
      </w:r>
      <w:r>
        <w:rPr>
          <w:rFonts w:ascii="Arial" w:hAnsi="Arial" w:cs="Arial"/>
          <w:sz w:val="20"/>
          <w:lang w:val="en-CA"/>
        </w:rPr>
        <w:t xml:space="preserve"> </w:t>
      </w:r>
      <w:r w:rsidRPr="006110C6">
        <w:rPr>
          <w:rFonts w:ascii="Arial" w:hAnsi="Arial" w:cs="Arial"/>
          <w:sz w:val="20"/>
          <w:lang w:val="en-CA"/>
        </w:rPr>
        <w:t>and the paperwork associated with it.</w:t>
      </w:r>
    </w:p>
    <w:p w14:paraId="06DB42CE" w14:textId="77777777" w:rsidR="009273C5" w:rsidRPr="006110C6" w:rsidRDefault="009273C5" w:rsidP="009273C5">
      <w:pPr>
        <w:spacing w:after="0" w:line="240" w:lineRule="auto"/>
        <w:ind w:left="-180"/>
        <w:rPr>
          <w:rFonts w:ascii="Arial" w:hAnsi="Arial" w:cs="Arial"/>
          <w:sz w:val="20"/>
          <w:lang w:val="en-CA"/>
        </w:rPr>
      </w:pPr>
      <w:r w:rsidRPr="006110C6">
        <w:rPr>
          <w:rFonts w:ascii="Arial" w:hAnsi="Arial" w:cs="Arial"/>
          <w:sz w:val="20"/>
          <w:lang w:val="en-CA"/>
        </w:rPr>
        <w:t>Schedule will be posted in TEAMS.</w:t>
      </w:r>
    </w:p>
    <w:p w14:paraId="249E9AB3" w14:textId="77777777" w:rsidR="009273C5" w:rsidRPr="006110C6" w:rsidRDefault="009273C5" w:rsidP="009273C5">
      <w:pPr>
        <w:spacing w:after="0" w:line="240" w:lineRule="auto"/>
        <w:ind w:left="-180"/>
        <w:rPr>
          <w:rFonts w:ascii="Arial" w:hAnsi="Arial" w:cs="Arial"/>
          <w:sz w:val="20"/>
          <w:lang w:val="en-CA"/>
        </w:rPr>
      </w:pPr>
    </w:p>
    <w:p w14:paraId="73A191E7" w14:textId="77777777" w:rsidR="009273C5" w:rsidRPr="006110C6" w:rsidRDefault="009273C5" w:rsidP="009273C5">
      <w:pPr>
        <w:spacing w:after="0" w:line="240" w:lineRule="auto"/>
        <w:ind w:left="-810"/>
        <w:rPr>
          <w:rFonts w:ascii="Arial" w:hAnsi="Arial" w:cs="Arial"/>
          <w:b/>
          <w:sz w:val="20"/>
          <w:u w:val="single"/>
          <w:lang w:val="en-CA"/>
        </w:rPr>
      </w:pPr>
      <w:r w:rsidRPr="006110C6">
        <w:rPr>
          <w:rFonts w:ascii="Arial" w:hAnsi="Arial" w:cs="Arial"/>
          <w:b/>
          <w:bCs/>
          <w:sz w:val="20"/>
          <w:u w:val="single"/>
          <w:lang w:val="en-CA"/>
        </w:rPr>
        <w:t xml:space="preserve">Grade 12 - </w:t>
      </w:r>
      <w:r w:rsidRPr="006110C6">
        <w:rPr>
          <w:rFonts w:ascii="Arial" w:hAnsi="Arial" w:cs="Arial"/>
          <w:sz w:val="20"/>
          <w:u w:val="single"/>
          <w:lang w:val="en-CA"/>
        </w:rPr>
        <w:t>Career-Life Connections B – 2 credits</w:t>
      </w:r>
    </w:p>
    <w:p w14:paraId="186732B2" w14:textId="77777777" w:rsidR="009273C5" w:rsidRDefault="009273C5" w:rsidP="009273C5">
      <w:pPr>
        <w:spacing w:after="0" w:line="240" w:lineRule="auto"/>
        <w:ind w:left="-180"/>
        <w:rPr>
          <w:rFonts w:ascii="Arial" w:hAnsi="Arial" w:cs="Arial"/>
          <w:sz w:val="20"/>
          <w:lang w:val="en-CA"/>
        </w:rPr>
      </w:pPr>
      <w:r w:rsidRPr="006110C6">
        <w:rPr>
          <w:rFonts w:ascii="Arial" w:hAnsi="Arial" w:cs="Arial"/>
          <w:sz w:val="20"/>
          <w:lang w:val="en-CA"/>
        </w:rPr>
        <w:t xml:space="preserve">Tune in to all virtual sessions on Office 365 (sessions will be recorded for anyone who can’t make it live) and/or attend scheduled CLC classes in various FLEX times, complete </w:t>
      </w:r>
      <w:proofErr w:type="gramStart"/>
      <w:r w:rsidRPr="006110C6">
        <w:rPr>
          <w:rFonts w:ascii="Arial" w:hAnsi="Arial" w:cs="Arial"/>
          <w:sz w:val="20"/>
          <w:lang w:val="en-CA"/>
        </w:rPr>
        <w:t>a number of</w:t>
      </w:r>
      <w:proofErr w:type="gramEnd"/>
      <w:r w:rsidRPr="006110C6">
        <w:rPr>
          <w:rFonts w:ascii="Arial" w:hAnsi="Arial" w:cs="Arial"/>
          <w:sz w:val="20"/>
          <w:lang w:val="en-CA"/>
        </w:rPr>
        <w:t xml:space="preserve"> online assignments, and work on and complete a Capstone Project (see below).  If not completed in Grade 11, students will need to complete their 30 hours of work or volunteer experience and the paperwork associated with it.</w:t>
      </w:r>
    </w:p>
    <w:p w14:paraId="4A10A02B" w14:textId="77777777" w:rsidR="009273C5" w:rsidRPr="006110C6" w:rsidRDefault="009273C5" w:rsidP="009273C5">
      <w:pPr>
        <w:spacing w:after="0" w:line="240" w:lineRule="auto"/>
        <w:ind w:left="-180"/>
        <w:rPr>
          <w:rFonts w:ascii="Arial" w:hAnsi="Arial" w:cs="Arial"/>
          <w:sz w:val="20"/>
          <w:lang w:val="en-CA"/>
        </w:rPr>
      </w:pPr>
      <w:r w:rsidRPr="006110C6">
        <w:rPr>
          <w:rFonts w:ascii="Arial" w:hAnsi="Arial" w:cs="Arial"/>
          <w:sz w:val="20"/>
          <w:lang w:val="en-CA"/>
        </w:rPr>
        <w:t>Schedule will be posted on TEAMS.</w:t>
      </w:r>
      <w:r w:rsidRPr="006110C6">
        <w:rPr>
          <w:rFonts w:ascii="Arial" w:hAnsi="Arial" w:cs="Arial"/>
          <w:sz w:val="20"/>
          <w:lang w:val="en-CA"/>
        </w:rPr>
        <w:br/>
      </w:r>
    </w:p>
    <w:p w14:paraId="7ADD72BA" w14:textId="77777777" w:rsidR="009273C5" w:rsidRPr="006110C6" w:rsidRDefault="009273C5" w:rsidP="009273C5">
      <w:pPr>
        <w:spacing w:after="0" w:line="240" w:lineRule="auto"/>
        <w:ind w:left="-180"/>
        <w:rPr>
          <w:rFonts w:ascii="Arial" w:hAnsi="Arial" w:cs="Arial"/>
          <w:sz w:val="20"/>
          <w:lang w:val="en-CA"/>
        </w:rPr>
      </w:pPr>
    </w:p>
    <w:p w14:paraId="1C8732FF" w14:textId="77777777" w:rsidR="009273C5" w:rsidRPr="006110C6" w:rsidRDefault="009273C5" w:rsidP="009273C5">
      <w:pPr>
        <w:spacing w:after="0" w:line="240" w:lineRule="auto"/>
        <w:ind w:left="-180"/>
        <w:rPr>
          <w:rFonts w:ascii="Arial" w:hAnsi="Arial" w:cs="Arial"/>
          <w:sz w:val="20"/>
          <w:lang w:val="en-CA"/>
        </w:rPr>
      </w:pPr>
      <w:r w:rsidRPr="006110C6">
        <w:rPr>
          <w:rFonts w:ascii="Arial" w:hAnsi="Arial" w:cs="Arial"/>
          <w:sz w:val="20"/>
          <w:u w:val="single"/>
          <w:lang w:val="en-CA"/>
        </w:rPr>
        <w:t>The Capstone Project consists of 3 Parts:</w:t>
      </w:r>
      <w:r w:rsidRPr="006110C6">
        <w:rPr>
          <w:rFonts w:ascii="Arial" w:hAnsi="Arial" w:cs="Arial"/>
          <w:sz w:val="20"/>
          <w:u w:val="single"/>
          <w:lang w:val="en-CA"/>
        </w:rPr>
        <w:br/>
      </w:r>
    </w:p>
    <w:p w14:paraId="09BC29FF" w14:textId="77777777" w:rsidR="009273C5" w:rsidRPr="006110C6" w:rsidRDefault="009273C5" w:rsidP="009273C5">
      <w:pPr>
        <w:pStyle w:val="ListParagraph"/>
        <w:numPr>
          <w:ilvl w:val="0"/>
          <w:numId w:val="1"/>
        </w:numPr>
        <w:ind w:left="-180"/>
        <w:rPr>
          <w:rFonts w:ascii="Arial" w:hAnsi="Arial" w:cs="Arial"/>
          <w:sz w:val="20"/>
          <w:lang w:val="en-CA"/>
        </w:rPr>
      </w:pPr>
      <w:r w:rsidRPr="006110C6">
        <w:rPr>
          <w:rFonts w:ascii="Arial" w:hAnsi="Arial" w:cs="Arial"/>
          <w:sz w:val="20"/>
          <w:u w:val="single"/>
          <w:lang w:val="en-CA"/>
        </w:rPr>
        <w:t>Capstone project proposal &amp; active exploration</w:t>
      </w:r>
      <w:r w:rsidRPr="006110C6">
        <w:rPr>
          <w:rFonts w:ascii="Arial" w:hAnsi="Arial" w:cs="Arial"/>
          <w:sz w:val="20"/>
          <w:lang w:val="en-CA"/>
        </w:rPr>
        <w:t xml:space="preserve"> </w:t>
      </w:r>
    </w:p>
    <w:p w14:paraId="12A3C872" w14:textId="77777777" w:rsidR="009273C5" w:rsidRPr="006110C6" w:rsidRDefault="009273C5" w:rsidP="009273C5">
      <w:pPr>
        <w:spacing w:after="0" w:line="240" w:lineRule="auto"/>
        <w:ind w:left="-180" w:right="-279"/>
        <w:rPr>
          <w:rFonts w:ascii="Arial" w:hAnsi="Arial" w:cs="Arial"/>
          <w:sz w:val="20"/>
          <w:lang w:val="en-CA"/>
        </w:rPr>
      </w:pPr>
      <w:r w:rsidRPr="006110C6">
        <w:rPr>
          <w:rFonts w:ascii="Arial" w:hAnsi="Arial" w:cs="Arial"/>
          <w:sz w:val="20"/>
          <w:lang w:val="en-CA"/>
        </w:rPr>
        <w:t>Choose a personal interest goal related to long-term goals, articulate a detailed plan to pursue that goal.   Explore your topic over the course of Grade 12. Document the journey &amp; learning (photographs, journaling, videos/vlogs, blogs, etc.).  Connect with a chosen adult mentor to receive guidance on exploration work as well as with future endeavors.</w:t>
      </w:r>
      <w:r w:rsidRPr="006110C6">
        <w:rPr>
          <w:rFonts w:ascii="Arial" w:hAnsi="Arial" w:cs="Arial"/>
          <w:sz w:val="20"/>
          <w:lang w:val="en-CA"/>
        </w:rPr>
        <w:br/>
      </w:r>
    </w:p>
    <w:p w14:paraId="304D88B8" w14:textId="77777777" w:rsidR="009273C5" w:rsidRPr="006110C6" w:rsidRDefault="009273C5" w:rsidP="009273C5">
      <w:pPr>
        <w:pStyle w:val="ListParagraph"/>
        <w:numPr>
          <w:ilvl w:val="0"/>
          <w:numId w:val="1"/>
        </w:numPr>
        <w:ind w:left="-180"/>
        <w:rPr>
          <w:rFonts w:ascii="Arial" w:hAnsi="Arial" w:cs="Arial"/>
          <w:sz w:val="20"/>
          <w:u w:val="single"/>
          <w:lang w:val="en-CA"/>
        </w:rPr>
      </w:pPr>
      <w:r w:rsidRPr="006110C6">
        <w:rPr>
          <w:rFonts w:ascii="Arial" w:hAnsi="Arial" w:cs="Arial"/>
          <w:sz w:val="20"/>
          <w:u w:val="single"/>
          <w:lang w:val="en-CA"/>
        </w:rPr>
        <w:t>Capstone Check-In(s)</w:t>
      </w:r>
    </w:p>
    <w:p w14:paraId="2982C360" w14:textId="77777777" w:rsidR="009273C5" w:rsidRPr="006110C6" w:rsidRDefault="009273C5" w:rsidP="009273C5">
      <w:pPr>
        <w:spacing w:after="0" w:line="240" w:lineRule="auto"/>
        <w:ind w:left="-180" w:right="-279"/>
        <w:rPr>
          <w:rFonts w:ascii="Arial" w:hAnsi="Arial" w:cs="Arial"/>
          <w:b/>
          <w:sz w:val="20"/>
          <w:lang w:val="en-CA"/>
        </w:rPr>
      </w:pPr>
      <w:r w:rsidRPr="006110C6">
        <w:rPr>
          <w:rFonts w:ascii="Arial" w:hAnsi="Arial" w:cs="Arial"/>
          <w:sz w:val="20"/>
          <w:lang w:val="en-CA"/>
        </w:rPr>
        <w:t>Sign up for a virtual Capstone Project check-in with your CLC teacher.  Includes a completed Action Log &amp; mentor meeting update, includes an updated and error free resume.  The number of check-ins required will be determined.</w:t>
      </w:r>
    </w:p>
    <w:p w14:paraId="188E0D20" w14:textId="77777777" w:rsidR="009273C5" w:rsidRPr="006110C6" w:rsidRDefault="009273C5" w:rsidP="009273C5">
      <w:pPr>
        <w:spacing w:after="0" w:line="240" w:lineRule="auto"/>
        <w:ind w:left="-180"/>
        <w:rPr>
          <w:rFonts w:ascii="Arial" w:hAnsi="Arial" w:cs="Arial"/>
          <w:sz w:val="20"/>
          <w:lang w:val="en-CA"/>
        </w:rPr>
      </w:pPr>
    </w:p>
    <w:p w14:paraId="1C9A3089" w14:textId="77777777" w:rsidR="009273C5" w:rsidRPr="006110C6" w:rsidRDefault="009273C5" w:rsidP="009273C5">
      <w:pPr>
        <w:pStyle w:val="ListParagraph"/>
        <w:numPr>
          <w:ilvl w:val="0"/>
          <w:numId w:val="1"/>
        </w:numPr>
        <w:ind w:left="-180"/>
        <w:rPr>
          <w:rFonts w:ascii="Arial" w:hAnsi="Arial" w:cs="Arial"/>
          <w:sz w:val="20"/>
          <w:u w:val="single"/>
          <w:lang w:val="en-CA"/>
        </w:rPr>
      </w:pPr>
      <w:r w:rsidRPr="006110C6">
        <w:rPr>
          <w:rFonts w:ascii="Arial" w:hAnsi="Arial" w:cs="Arial"/>
          <w:sz w:val="20"/>
          <w:u w:val="single"/>
          <w:lang w:val="en-CA"/>
        </w:rPr>
        <w:t>Capstone Presentation</w:t>
      </w:r>
    </w:p>
    <w:p w14:paraId="6244BC2D" w14:textId="77777777" w:rsidR="009273C5" w:rsidRPr="006110C6" w:rsidRDefault="009273C5" w:rsidP="009273C5">
      <w:pPr>
        <w:spacing w:after="0" w:line="240" w:lineRule="auto"/>
        <w:ind w:left="-180"/>
        <w:rPr>
          <w:rFonts w:ascii="Arial" w:hAnsi="Arial" w:cs="Arial"/>
          <w:sz w:val="20"/>
          <w:lang w:val="en-CA"/>
        </w:rPr>
      </w:pPr>
      <w:r w:rsidRPr="006110C6">
        <w:rPr>
          <w:rFonts w:ascii="Arial" w:hAnsi="Arial" w:cs="Arial"/>
          <w:sz w:val="20"/>
          <w:lang w:val="en-CA"/>
        </w:rPr>
        <w:t xml:space="preserve">Celebrate!  The goal this year is to schedule an oral presentation for each student where they will present the details of their Capstone project, hand in a final ‘representation’ (final project), as well as a final reflection on the process of the Capstone.  The focus is how their project demonstrates both personal learning and achievement and growth in the core competencies while reflecting on their post-graduation plans. </w:t>
      </w:r>
    </w:p>
    <w:p w14:paraId="01F40456" w14:textId="77777777" w:rsidR="009273C5" w:rsidRPr="006110C6" w:rsidRDefault="009273C5" w:rsidP="009273C5">
      <w:pPr>
        <w:spacing w:after="0" w:line="240" w:lineRule="auto"/>
        <w:ind w:left="-180"/>
        <w:rPr>
          <w:rFonts w:ascii="Arial" w:hAnsi="Arial" w:cs="Arial"/>
          <w:sz w:val="20"/>
          <w:lang w:val="en-CA"/>
        </w:rPr>
      </w:pPr>
    </w:p>
    <w:p w14:paraId="67681054" w14:textId="22F44532" w:rsidR="004562E5" w:rsidRDefault="009273C5" w:rsidP="009273C5">
      <w:pPr>
        <w:spacing w:after="0" w:line="240" w:lineRule="auto"/>
      </w:pPr>
      <w:r w:rsidRPr="006110C6">
        <w:rPr>
          <w:rFonts w:ascii="Arial" w:hAnsi="Arial" w:cs="Arial"/>
          <w:b/>
          <w:sz w:val="16"/>
          <w:szCs w:val="18"/>
          <w:u w:val="single"/>
          <w:lang w:val="en-CA"/>
        </w:rPr>
        <w:t>How to stay connected to information &amp; changes:</w:t>
      </w:r>
      <w:r w:rsidRPr="006110C6">
        <w:rPr>
          <w:rFonts w:ascii="Arial" w:hAnsi="Arial" w:cs="Arial"/>
          <w:sz w:val="16"/>
          <w:szCs w:val="18"/>
          <w:lang w:val="en-CA"/>
        </w:rPr>
        <w:t xml:space="preserve">  Visit the Moscrop Website (under Career Life Connections), students should check school email daily, the daily student bulletin, &amp;/or contact Laura.Dato@burnabyschools.c</w:t>
      </w:r>
      <w:r>
        <w:rPr>
          <w:rFonts w:ascii="Arial" w:hAnsi="Arial" w:cs="Arial"/>
          <w:sz w:val="16"/>
          <w:szCs w:val="18"/>
          <w:lang w:val="en-CA"/>
        </w:rPr>
        <w:t>a</w:t>
      </w:r>
    </w:p>
    <w:sectPr w:rsidR="004562E5" w:rsidSect="009273C5">
      <w:footerReference w:type="default" r:id="rId5"/>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99A8" w14:textId="77777777" w:rsidR="00372D6D" w:rsidRPr="00BE6911" w:rsidRDefault="009273C5" w:rsidP="00BE6911">
    <w:pPr>
      <w:pStyle w:val="Footer"/>
      <w:jc w:val="right"/>
      <w:rPr>
        <w:sz w:val="14"/>
        <w:lang w:val="en-CA"/>
      </w:rPr>
    </w:pPr>
    <w:r w:rsidRPr="00BE6911">
      <w:rPr>
        <w:sz w:val="14"/>
        <w:lang w:val="en-CA"/>
      </w:rPr>
      <w:t xml:space="preserve">Created </w:t>
    </w:r>
    <w:proofErr w:type="gramStart"/>
    <w:r w:rsidRPr="00BE6911">
      <w:rPr>
        <w:sz w:val="14"/>
        <w:lang w:val="en-CA"/>
      </w:rPr>
      <w:t>by:</w:t>
    </w:r>
    <w:proofErr w:type="gramEnd"/>
    <w:r w:rsidRPr="00BE6911">
      <w:rPr>
        <w:sz w:val="14"/>
        <w:lang w:val="en-CA"/>
      </w:rPr>
      <w:t xml:space="preserve"> Laura Dato, Burnaby SD #41</w:t>
    </w:r>
    <w:r>
      <w:rPr>
        <w:sz w:val="14"/>
        <w:lang w:val="en-CA"/>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F03D2"/>
    <w:multiLevelType w:val="multilevel"/>
    <w:tmpl w:val="63C63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80476"/>
    <w:multiLevelType w:val="hybridMultilevel"/>
    <w:tmpl w:val="4F480386"/>
    <w:lvl w:ilvl="0" w:tplc="AAAE85D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C5"/>
    <w:rsid w:val="0072158A"/>
    <w:rsid w:val="009273C5"/>
    <w:rsid w:val="00E7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BD11"/>
  <w15:chartTrackingRefBased/>
  <w15:docId w15:val="{D9A0A566-C6AF-4D18-A910-CC3B3197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C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3C5"/>
    <w:pPr>
      <w:spacing w:after="0" w:line="240" w:lineRule="auto"/>
    </w:pPr>
    <w:rPr>
      <w:rFonts w:eastAsiaTheme="minorEastAsia"/>
      <w:sz w:val="24"/>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3C5"/>
    <w:pPr>
      <w:spacing w:after="0" w:line="240" w:lineRule="auto"/>
      <w:ind w:left="720"/>
      <w:contextualSpacing/>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2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3C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1</cp:revision>
  <dcterms:created xsi:type="dcterms:W3CDTF">2021-09-08T19:41:00Z</dcterms:created>
  <dcterms:modified xsi:type="dcterms:W3CDTF">2021-09-08T19:42:00Z</dcterms:modified>
</cp:coreProperties>
</file>