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AB94" w14:textId="54E57536" w:rsidR="00F533CE" w:rsidRPr="00F533CE" w:rsidRDefault="009212D8" w:rsidP="001A6BF4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="00D500B5" w:rsidRPr="00237E7E">
        <w:rPr>
          <w:sz w:val="40"/>
          <w:szCs w:val="40"/>
        </w:rPr>
        <w:t xml:space="preserve">Choice Board –Grade </w:t>
      </w:r>
      <w:r w:rsidR="00BB5E25">
        <w:rPr>
          <w:sz w:val="40"/>
          <w:szCs w:val="40"/>
        </w:rPr>
        <w:t>9</w:t>
      </w:r>
      <w:r w:rsidR="00BB6E6B" w:rsidRPr="00237E7E">
        <w:rPr>
          <w:sz w:val="40"/>
          <w:szCs w:val="40"/>
        </w:rPr>
        <w:t xml:space="preserve"> </w:t>
      </w:r>
      <w:r w:rsidR="00315116">
        <w:rPr>
          <w:sz w:val="40"/>
          <w:szCs w:val="40"/>
        </w:rPr>
        <w:t>Questions, Activities and Investigations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150"/>
        <w:gridCol w:w="3150"/>
        <w:gridCol w:w="3150"/>
        <w:gridCol w:w="3150"/>
        <w:gridCol w:w="3150"/>
      </w:tblGrid>
      <w:tr w:rsidR="009813F1" w14:paraId="6BD41478" w14:textId="77777777" w:rsidTr="00272C1A">
        <w:tc>
          <w:tcPr>
            <w:tcW w:w="3168" w:type="dxa"/>
          </w:tcPr>
          <w:p w14:paraId="4F3942AF" w14:textId="77777777" w:rsidR="00D500B5" w:rsidRDefault="009B4286" w:rsidP="009B4286">
            <w:pPr>
              <w:jc w:val="right"/>
            </w:pPr>
            <w:r>
              <w:t xml:space="preserve">Big Ideas </w:t>
            </w:r>
            <w:r>
              <w:sym w:font="Wingdings" w:char="F0E0"/>
            </w:r>
          </w:p>
          <w:p w14:paraId="1D30D026" w14:textId="77777777" w:rsidR="00272C1A" w:rsidRDefault="00272C1A" w:rsidP="00D500B5"/>
          <w:p w14:paraId="7DFA5FBA" w14:textId="38E3FB69" w:rsidR="00D500B5" w:rsidRDefault="00272C1A" w:rsidP="00D500B5">
            <w:r>
              <w:t>Curricular Competencies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14:paraId="09375BBC" w14:textId="21109AA7" w:rsidR="00D500B5" w:rsidRPr="000A4542" w:rsidRDefault="009338EE" w:rsidP="000A4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Exponents and Radicals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2BC6E3D6" w14:textId="3E5ABDF4" w:rsidR="00D500B5" w:rsidRPr="000A4542" w:rsidRDefault="00D500B5" w:rsidP="000A4542">
            <w:pPr>
              <w:jc w:val="center"/>
              <w:rPr>
                <w:sz w:val="32"/>
                <w:szCs w:val="32"/>
              </w:rPr>
            </w:pPr>
            <w:r w:rsidRPr="000A4542">
              <w:rPr>
                <w:sz w:val="32"/>
                <w:szCs w:val="32"/>
              </w:rPr>
              <w:t xml:space="preserve">Computational fluency with </w:t>
            </w:r>
            <w:r w:rsidR="009338EE">
              <w:rPr>
                <w:sz w:val="32"/>
                <w:szCs w:val="32"/>
              </w:rPr>
              <w:t>rational numbers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081F467D" w14:textId="14F4D85C" w:rsidR="00D500B5" w:rsidRPr="000A4542" w:rsidRDefault="009338EE" w:rsidP="000A4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Continuous</w:t>
            </w:r>
            <w:r w:rsidR="00D500B5" w:rsidRPr="000A4542">
              <w:rPr>
                <w:sz w:val="32"/>
                <w:szCs w:val="32"/>
              </w:rPr>
              <w:t xml:space="preserve"> linear relationships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32DFD04D" w14:textId="72612C7E" w:rsidR="00D500B5" w:rsidRPr="000A4542" w:rsidRDefault="009338EE" w:rsidP="000A4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Proportional Reasoning with 2-D shapes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4F46D7DD" w14:textId="5EA74D89" w:rsidR="00D500B5" w:rsidRPr="000A4542" w:rsidRDefault="00D500B5" w:rsidP="000A4542">
            <w:pPr>
              <w:jc w:val="center"/>
              <w:rPr>
                <w:sz w:val="32"/>
                <w:szCs w:val="32"/>
              </w:rPr>
            </w:pPr>
            <w:r w:rsidRPr="000A4542">
              <w:rPr>
                <w:sz w:val="32"/>
                <w:szCs w:val="32"/>
              </w:rPr>
              <w:t>Analyzing data</w:t>
            </w:r>
            <w:r w:rsidR="009338EE">
              <w:rPr>
                <w:sz w:val="32"/>
                <w:szCs w:val="32"/>
              </w:rPr>
              <w:t xml:space="preserve"> and Financial Literacy</w:t>
            </w:r>
          </w:p>
        </w:tc>
      </w:tr>
      <w:tr w:rsidR="009813F1" w14:paraId="181A53AF" w14:textId="77777777" w:rsidTr="00272C1A">
        <w:tc>
          <w:tcPr>
            <w:tcW w:w="3168" w:type="dxa"/>
          </w:tcPr>
          <w:p w14:paraId="6B35F3E8" w14:textId="77777777" w:rsidR="00D500B5" w:rsidRDefault="00D500B5" w:rsidP="00D500B5">
            <w:r>
              <w:t>Reasoning and analyzing</w:t>
            </w:r>
          </w:p>
          <w:p w14:paraId="0FDB0BDD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Connections</w:t>
            </w:r>
          </w:p>
          <w:p w14:paraId="6162C512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Estimates</w:t>
            </w:r>
          </w:p>
          <w:p w14:paraId="252F2EB0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Mental strategies</w:t>
            </w:r>
          </w:p>
          <w:p w14:paraId="1E1EE60A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Technology</w:t>
            </w:r>
          </w:p>
          <w:p w14:paraId="226BC7C8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Model math in context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14:paraId="1BDBF556" w14:textId="4E346237" w:rsidR="00D500B5" w:rsidRDefault="007A0BE4">
            <w:r>
              <w:t xml:space="preserve">Try evaluating </w:t>
            </w:r>
            <w:hyperlink r:id="rId7" w:history="1">
              <w:r w:rsidRPr="00D04E2A">
                <w:rPr>
                  <w:rStyle w:val="Hyperlink"/>
                </w:rPr>
                <w:t>these statements</w:t>
              </w:r>
            </w:hyperlink>
            <w:r>
              <w:t xml:space="preserve"> about Radical expressions. To determine the truth of an expression, find values of x and y that are true or not true.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50C1C331" w14:textId="3FD3202F" w:rsidR="009B4286" w:rsidRDefault="00F6577C">
            <w:r>
              <w:t xml:space="preserve">Play this game of </w:t>
            </w:r>
            <w:hyperlink r:id="rId8" w:history="1">
              <w:r w:rsidRPr="00F6577C">
                <w:rPr>
                  <w:rStyle w:val="Hyperlink"/>
                </w:rPr>
                <w:t>Remainders</w:t>
              </w:r>
            </w:hyperlink>
            <w:r>
              <w:t>. What is the best score you got? How did using the Modulator help you?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691880C1" w14:textId="7003BE40" w:rsidR="00D824B3" w:rsidRDefault="00D824B3" w:rsidP="00D824B3">
            <w:r>
              <w:t xml:space="preserve">Use DESMOS to run through this </w:t>
            </w:r>
            <w:hyperlink r:id="rId9" w:history="1">
              <w:r w:rsidRPr="002E2C17">
                <w:rPr>
                  <w:rStyle w:val="Hyperlink"/>
                </w:rPr>
                <w:t>graphing activity</w:t>
              </w:r>
            </w:hyperlink>
            <w:r>
              <w:t>.</w:t>
            </w:r>
          </w:p>
          <w:p w14:paraId="346A1A66" w14:textId="3444D576" w:rsidR="00D500B5" w:rsidRDefault="00D500B5" w:rsidP="002E2C17"/>
        </w:tc>
        <w:tc>
          <w:tcPr>
            <w:tcW w:w="3150" w:type="dxa"/>
            <w:shd w:val="clear" w:color="auto" w:fill="92CDDC" w:themeFill="accent5" w:themeFillTint="99"/>
          </w:tcPr>
          <w:p w14:paraId="7D845B15" w14:textId="2CB77D73" w:rsidR="00410753" w:rsidRDefault="00410753" w:rsidP="00410753">
            <w:r>
              <w:t xml:space="preserve">The </w:t>
            </w:r>
            <w:hyperlink r:id="rId10" w:history="1">
              <w:r w:rsidR="000E2249" w:rsidRPr="00D04E2A">
                <w:rPr>
                  <w:rStyle w:val="Hyperlink"/>
                </w:rPr>
                <w:t>photo here</w:t>
              </w:r>
            </w:hyperlink>
            <w:r>
              <w:t xml:space="preserve"> shows the facade of the neo-Gothic St Petrus and Paulus Church in Ostend, Belgium. Assume that the person dressed in a black suit in the bottom right-hand corner of the photograph is 2 metres tall.</w:t>
            </w:r>
          </w:p>
          <w:p w14:paraId="7FD07378" w14:textId="77777777" w:rsidR="00410753" w:rsidRDefault="00410753" w:rsidP="00410753">
            <w:r>
              <w:t>a What is the approximate scale of the photograph?</w:t>
            </w:r>
          </w:p>
          <w:p w14:paraId="19939134" w14:textId="77777777" w:rsidR="00410753" w:rsidRDefault="00410753" w:rsidP="00410753">
            <w:r>
              <w:t>b What is the approximate height of the top of each spire from the ground?</w:t>
            </w:r>
          </w:p>
          <w:p w14:paraId="0FD1C6DD" w14:textId="77777777" w:rsidR="000646CC" w:rsidRDefault="000646CC" w:rsidP="00286CCD"/>
        </w:tc>
        <w:tc>
          <w:tcPr>
            <w:tcW w:w="3150" w:type="dxa"/>
            <w:shd w:val="clear" w:color="auto" w:fill="FBD4B4" w:themeFill="accent6" w:themeFillTint="66"/>
          </w:tcPr>
          <w:p w14:paraId="21D3F343" w14:textId="728680E1" w:rsidR="00D500B5" w:rsidRDefault="00471B03" w:rsidP="00286CCD">
            <w:r>
              <w:t>Are drug tests fair?</w:t>
            </w:r>
            <w:bookmarkStart w:id="0" w:name="_Hlk57109474"/>
            <w:r>
              <w:t xml:space="preserve"> </w:t>
            </w:r>
            <w:hyperlink r:id="rId11" w:history="1">
              <w:r w:rsidRPr="00471B03">
                <w:rPr>
                  <w:rStyle w:val="Hyperlink"/>
                </w:rPr>
                <w:t>Read this article</w:t>
              </w:r>
            </w:hyperlink>
            <w:r>
              <w:t xml:space="preserve"> about drug testing in the United States and </w:t>
            </w:r>
            <w:hyperlink r:id="rId12" w:history="1">
              <w:r w:rsidRPr="00471B03">
                <w:rPr>
                  <w:rStyle w:val="Hyperlink"/>
                </w:rPr>
                <w:t>this one</w:t>
              </w:r>
            </w:hyperlink>
            <w:r>
              <w:t xml:space="preserve"> about racism in hiring</w:t>
            </w:r>
            <w:bookmarkEnd w:id="0"/>
            <w:r>
              <w:t xml:space="preserve">. Then proceed with discussing the questions in </w:t>
            </w:r>
            <w:hyperlink r:id="rId13" w:history="1">
              <w:r w:rsidRPr="00D04E2A">
                <w:rPr>
                  <w:rStyle w:val="Hyperlink"/>
                </w:rPr>
                <w:t>this handout</w:t>
              </w:r>
            </w:hyperlink>
            <w:r w:rsidRPr="00D04E2A">
              <w:t>.</w:t>
            </w:r>
          </w:p>
          <w:p w14:paraId="314751D0" w14:textId="622E35D4" w:rsidR="00471B03" w:rsidRDefault="00471B03" w:rsidP="00286CCD"/>
        </w:tc>
      </w:tr>
      <w:tr w:rsidR="00D824B3" w14:paraId="50EB396C" w14:textId="77777777" w:rsidTr="00272C1A">
        <w:tc>
          <w:tcPr>
            <w:tcW w:w="3168" w:type="dxa"/>
          </w:tcPr>
          <w:p w14:paraId="4509201D" w14:textId="77777777" w:rsidR="00D824B3" w:rsidRDefault="00D824B3" w:rsidP="00D824B3">
            <w:r>
              <w:t>Understanding and solving</w:t>
            </w:r>
          </w:p>
          <w:p w14:paraId="0A21D394" w14:textId="77777777" w:rsidR="00D824B3" w:rsidRDefault="00D824B3" w:rsidP="00D824B3">
            <w:pPr>
              <w:pStyle w:val="ListParagraph"/>
              <w:numPr>
                <w:ilvl w:val="0"/>
                <w:numId w:val="3"/>
              </w:numPr>
            </w:pPr>
            <w:r>
              <w:t>Inquire and solve</w:t>
            </w:r>
          </w:p>
          <w:p w14:paraId="4EBE7C7A" w14:textId="77777777" w:rsidR="00D824B3" w:rsidRDefault="00D824B3" w:rsidP="00D824B3">
            <w:pPr>
              <w:pStyle w:val="ListParagraph"/>
              <w:numPr>
                <w:ilvl w:val="0"/>
                <w:numId w:val="3"/>
              </w:numPr>
            </w:pPr>
            <w:r>
              <w:t>Visualize</w:t>
            </w:r>
          </w:p>
          <w:p w14:paraId="7CBA387F" w14:textId="77777777" w:rsidR="00D824B3" w:rsidRDefault="00D824B3" w:rsidP="00D824B3">
            <w:pPr>
              <w:pStyle w:val="ListParagraph"/>
              <w:numPr>
                <w:ilvl w:val="0"/>
                <w:numId w:val="3"/>
              </w:numPr>
            </w:pPr>
            <w:r>
              <w:t>Multiple Strategies</w:t>
            </w:r>
          </w:p>
          <w:p w14:paraId="0F165AB9" w14:textId="77777777" w:rsidR="00D824B3" w:rsidRDefault="00D824B3" w:rsidP="00D824B3">
            <w:pPr>
              <w:pStyle w:val="ListParagraph"/>
              <w:numPr>
                <w:ilvl w:val="0"/>
                <w:numId w:val="3"/>
              </w:numPr>
            </w:pPr>
            <w:r>
              <w:t xml:space="preserve">Connection to place and Indigenous cultures </w:t>
            </w:r>
          </w:p>
          <w:p w14:paraId="67A324FA" w14:textId="77777777" w:rsidR="00D824B3" w:rsidRDefault="00D824B3" w:rsidP="00D824B3"/>
        </w:tc>
        <w:tc>
          <w:tcPr>
            <w:tcW w:w="3150" w:type="dxa"/>
            <w:shd w:val="clear" w:color="auto" w:fill="E5B8B7" w:themeFill="accent2" w:themeFillTint="66"/>
          </w:tcPr>
          <w:p w14:paraId="5D8CF428" w14:textId="52308D81" w:rsidR="00D824B3" w:rsidRDefault="00D824B3" w:rsidP="00D824B3">
            <w:r>
              <w:t>Without using a calculator, write the following numbers in order from least to greatest. Explain how you know.</w:t>
            </w:r>
          </w:p>
          <w:p w14:paraId="78CE6661" w14:textId="200746B7" w:rsidR="00D824B3" w:rsidRDefault="00D824B3" w:rsidP="00D824B3">
            <w:r>
              <w:t xml:space="preserve"> 3</w:t>
            </w:r>
            <w:r w:rsidRPr="00A27422">
              <w:rPr>
                <w:vertAlign w:val="superscript"/>
              </w:rPr>
              <w:t>55</w:t>
            </w:r>
            <w:r>
              <w:t xml:space="preserve">        4</w:t>
            </w:r>
            <w:r w:rsidRPr="00A27422">
              <w:rPr>
                <w:vertAlign w:val="superscript"/>
              </w:rPr>
              <w:t>44</w:t>
            </w:r>
            <w:r>
              <w:t xml:space="preserve">       5</w:t>
            </w:r>
            <w:r w:rsidRPr="00A27422">
              <w:rPr>
                <w:vertAlign w:val="superscript"/>
              </w:rPr>
              <w:t>33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13AE3F0D" w14:textId="2733FDD1" w:rsidR="00D824B3" w:rsidRDefault="00D824B3" w:rsidP="00D824B3">
            <w:r>
              <w:t>You divide two rational numbers and the answer is between the numbers. What might the numbers be? Are there lots of solutions?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603D6268" w14:textId="0558F0C3" w:rsidR="00D824B3" w:rsidRDefault="00336B17" w:rsidP="00D824B3">
            <w:r>
              <w:t>Look</w:t>
            </w:r>
            <w:r w:rsidR="00D824B3">
              <w:t xml:space="preserve"> at these boxes on the multiplication table. Can you determine any linear relationships between the numbers? Explain. </w:t>
            </w:r>
            <w:r w:rsidR="00D824B3" w:rsidRPr="0044196F">
              <w:rPr>
                <w:noProof/>
              </w:rPr>
              <w:drawing>
                <wp:inline distT="0" distB="0" distL="0" distR="0" wp14:anchorId="1E7BEA98" wp14:editId="12E37ECC">
                  <wp:extent cx="1863090" cy="8763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6EEA2AFA" w14:textId="3B3DBCC8" w:rsidR="00D824B3" w:rsidRDefault="00BC5343" w:rsidP="00D824B3">
            <w:r>
              <w:t xml:space="preserve"> </w:t>
            </w:r>
            <w:hyperlink r:id="rId15" w:history="1">
              <w:r w:rsidR="00471B03" w:rsidRPr="00D04E2A">
                <w:rPr>
                  <w:rStyle w:val="Hyperlink"/>
                </w:rPr>
                <w:t>Design a traditional BC dwelling</w:t>
              </w:r>
            </w:hyperlink>
            <w:r w:rsidR="00471B03">
              <w:t xml:space="preserve"> suitable for your family and location.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434F3684" w14:textId="2C631D4C" w:rsidR="00D824B3" w:rsidRDefault="00C566BA" w:rsidP="00D824B3">
            <w:r>
              <w:t xml:space="preserve">You are planning a grade-wide party for all 150 of the Grade 9’s in your school. </w:t>
            </w:r>
            <w:r w:rsidR="004159C4">
              <w:t>You want to pay for snacks, drinks, decorations and a DJ. Research the costs for each of these items and make a budget. If the students’ council is giving you $200 towards the party, how much will you have to charge each student?</w:t>
            </w:r>
          </w:p>
        </w:tc>
      </w:tr>
    </w:tbl>
    <w:p w14:paraId="49F659A6" w14:textId="77777777" w:rsidR="00CA5EAF" w:rsidRDefault="00CA5E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150"/>
        <w:gridCol w:w="3150"/>
        <w:gridCol w:w="3150"/>
        <w:gridCol w:w="3150"/>
        <w:gridCol w:w="3150"/>
      </w:tblGrid>
      <w:tr w:rsidR="00D824B3" w14:paraId="19803421" w14:textId="77777777" w:rsidTr="00272C1A">
        <w:tc>
          <w:tcPr>
            <w:tcW w:w="3168" w:type="dxa"/>
          </w:tcPr>
          <w:p w14:paraId="6B06CB69" w14:textId="74ADC89E" w:rsidR="00D824B3" w:rsidRDefault="00D824B3" w:rsidP="00D824B3">
            <w:r>
              <w:lastRenderedPageBreak/>
              <w:t>Communicating and representing</w:t>
            </w:r>
          </w:p>
          <w:p w14:paraId="7EB6598D" w14:textId="77777777" w:rsidR="00D824B3" w:rsidRDefault="00D824B3" w:rsidP="00D824B3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14:paraId="34967155" w14:textId="77777777" w:rsidR="00D824B3" w:rsidRDefault="00D824B3" w:rsidP="00D824B3">
            <w:pPr>
              <w:pStyle w:val="ListParagraph"/>
              <w:numPr>
                <w:ilvl w:val="0"/>
                <w:numId w:val="2"/>
              </w:numPr>
            </w:pPr>
            <w:r>
              <w:t>Explain and Justify</w:t>
            </w:r>
          </w:p>
          <w:p w14:paraId="0A868E24" w14:textId="77777777" w:rsidR="00D824B3" w:rsidRDefault="00D824B3" w:rsidP="00D824B3">
            <w:pPr>
              <w:pStyle w:val="ListParagraph"/>
              <w:numPr>
                <w:ilvl w:val="0"/>
                <w:numId w:val="2"/>
              </w:numPr>
            </w:pPr>
            <w:r>
              <w:t>Concrete, Pictorial and Symbolic forms</w:t>
            </w:r>
          </w:p>
          <w:p w14:paraId="6707C0C2" w14:textId="77777777" w:rsidR="00D824B3" w:rsidRDefault="00D824B3" w:rsidP="00D824B3"/>
        </w:tc>
        <w:tc>
          <w:tcPr>
            <w:tcW w:w="3150" w:type="dxa"/>
            <w:shd w:val="clear" w:color="auto" w:fill="E5B8B7" w:themeFill="accent2" w:themeFillTint="66"/>
          </w:tcPr>
          <w:p w14:paraId="7DF17F65" w14:textId="412C6C44" w:rsidR="00D824B3" w:rsidRDefault="00D824B3" w:rsidP="00D824B3">
            <w:r>
              <w:t xml:space="preserve">Use </w:t>
            </w:r>
            <w:hyperlink r:id="rId16" w:history="1">
              <w:r w:rsidRPr="003F1EF2">
                <w:rPr>
                  <w:rStyle w:val="Hyperlink"/>
                </w:rPr>
                <w:t>this sheet</w:t>
              </w:r>
            </w:hyperlink>
            <w:r>
              <w:t xml:space="preserve"> to explore various representations of exponents, then explain why these rules make sense, using examples:</w:t>
            </w:r>
          </w:p>
          <w:p w14:paraId="51E78F74" w14:textId="77777777" w:rsidR="00D824B3" w:rsidRDefault="00D824B3" w:rsidP="00D824B3">
            <w:pPr>
              <w:pStyle w:val="ListParagraph"/>
              <w:numPr>
                <w:ilvl w:val="0"/>
                <w:numId w:val="12"/>
              </w:numPr>
            </w:pPr>
            <w:r>
              <w:t>(a</w:t>
            </w:r>
            <w:r w:rsidRPr="00A05C31">
              <w:rPr>
                <w:vertAlign w:val="superscript"/>
              </w:rPr>
              <w:t>m</w:t>
            </w:r>
            <w:r>
              <w:t>)(a</w:t>
            </w:r>
            <w:r w:rsidRPr="00A05C31">
              <w:rPr>
                <w:vertAlign w:val="superscript"/>
              </w:rPr>
              <w:t>n</w:t>
            </w:r>
            <w:r>
              <w:t>)=a</w:t>
            </w:r>
            <w:r w:rsidRPr="00A05C31">
              <w:rPr>
                <w:vertAlign w:val="superscript"/>
              </w:rPr>
              <w:t>m+n</w:t>
            </w:r>
          </w:p>
          <w:p w14:paraId="2BA9614D" w14:textId="77777777" w:rsidR="00D824B3" w:rsidRPr="00A05C31" w:rsidRDefault="00D824B3" w:rsidP="00D824B3">
            <w:pPr>
              <w:pStyle w:val="ListParagraph"/>
              <w:numPr>
                <w:ilvl w:val="0"/>
                <w:numId w:val="12"/>
              </w:numPr>
            </w:pPr>
            <w:r>
              <w:t>a</w:t>
            </w:r>
            <w:r w:rsidRPr="00A05C31">
              <w:rPr>
                <w:vertAlign w:val="superscript"/>
              </w:rPr>
              <w:t>m</w:t>
            </w:r>
            <w:r>
              <w:rPr>
                <w:rFonts w:cstheme="minorHAnsi"/>
              </w:rPr>
              <w:t>÷a</w:t>
            </w:r>
            <w:r w:rsidRPr="00A05C31">
              <w:rPr>
                <w:rFonts w:cstheme="minorHAnsi"/>
                <w:vertAlign w:val="superscript"/>
              </w:rPr>
              <w:t>n</w:t>
            </w:r>
            <w:r>
              <w:rPr>
                <w:rFonts w:cstheme="minorHAnsi"/>
              </w:rPr>
              <w:t>=a</w:t>
            </w:r>
            <w:r w:rsidRPr="00A05C31">
              <w:rPr>
                <w:rFonts w:cstheme="minorHAnsi"/>
                <w:vertAlign w:val="superscript"/>
              </w:rPr>
              <w:t>m-n</w:t>
            </w:r>
            <w:r>
              <w:rPr>
                <w:rFonts w:cstheme="minorHAnsi"/>
              </w:rPr>
              <w:t>, m&gt;n</w:t>
            </w:r>
          </w:p>
          <w:p w14:paraId="0D97ED9D" w14:textId="77777777" w:rsidR="00D824B3" w:rsidRPr="00A05C31" w:rsidRDefault="00D824B3" w:rsidP="00D824B3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theme="minorHAnsi"/>
              </w:rPr>
              <w:t>(a</w:t>
            </w:r>
            <w:r w:rsidRPr="00A05C31">
              <w:rPr>
                <w:rFonts w:cstheme="minorHAnsi"/>
                <w:vertAlign w:val="superscript"/>
              </w:rPr>
              <w:t>m</w:t>
            </w:r>
            <w:r>
              <w:rPr>
                <w:rFonts w:cstheme="minorHAnsi"/>
              </w:rPr>
              <w:t>)</w:t>
            </w:r>
            <w:r w:rsidRPr="00A05C31">
              <w:rPr>
                <w:rFonts w:cstheme="minorHAnsi"/>
                <w:vertAlign w:val="superscript"/>
              </w:rPr>
              <w:t>n</w:t>
            </w:r>
            <w:r>
              <w:rPr>
                <w:rFonts w:cstheme="minorHAnsi"/>
              </w:rPr>
              <w:t>=a</w:t>
            </w:r>
            <w:r w:rsidRPr="00A05C31">
              <w:rPr>
                <w:rFonts w:cstheme="minorHAnsi"/>
                <w:vertAlign w:val="superscript"/>
              </w:rPr>
              <w:t>mxn</w:t>
            </w:r>
          </w:p>
          <w:p w14:paraId="1583F3CD" w14:textId="6B0666C0" w:rsidR="00D824B3" w:rsidRDefault="00D824B3" w:rsidP="00D824B3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theme="minorHAnsi"/>
              </w:rPr>
              <w:t>(a/b)</w:t>
            </w:r>
            <w:r w:rsidRPr="00A05C31">
              <w:rPr>
                <w:rFonts w:cstheme="minorHAnsi"/>
                <w:vertAlign w:val="superscript"/>
              </w:rPr>
              <w:t>n</w:t>
            </w:r>
            <w:r>
              <w:rPr>
                <w:rFonts w:cstheme="minorHAnsi"/>
              </w:rPr>
              <w:t>=a</w:t>
            </w:r>
            <w:r w:rsidRPr="00A05C31">
              <w:rPr>
                <w:rFonts w:cstheme="minorHAnsi"/>
                <w:vertAlign w:val="superscript"/>
              </w:rPr>
              <w:t>n</w:t>
            </w:r>
            <w:r>
              <w:rPr>
                <w:rFonts w:cstheme="minorHAnsi"/>
              </w:rPr>
              <w:t>/b</w:t>
            </w:r>
            <w:r w:rsidRPr="00A05C31">
              <w:rPr>
                <w:rFonts w:cstheme="minorHAnsi"/>
                <w:vertAlign w:val="superscript"/>
              </w:rPr>
              <w:t>n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022CB5A6" w14:textId="660ED2BD" w:rsidR="00D824B3" w:rsidRDefault="00D824B3" w:rsidP="00D824B3">
            <w:r>
              <w:t>Create a numerical expression with rational numbers AND exponents that requires you to know the rules for the order of operations. Explain how the rules make a difference to the result.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4F3E58BB" w14:textId="43C0D830" w:rsidR="00D824B3" w:rsidRDefault="00336B17" w:rsidP="00D824B3">
            <w:r>
              <w:t>Examine</w:t>
            </w:r>
            <w:r w:rsidR="00016DA8">
              <w:t xml:space="preserve"> this </w:t>
            </w:r>
            <w:hyperlink r:id="rId17" w:history="1">
              <w:r w:rsidR="00016DA8" w:rsidRPr="00016DA8">
                <w:rPr>
                  <w:rStyle w:val="Hyperlink"/>
                </w:rPr>
                <w:t>st</w:t>
              </w:r>
              <w:r w:rsidR="00016DA8" w:rsidRPr="00016DA8">
                <w:rPr>
                  <w:rStyle w:val="Hyperlink"/>
                </w:rPr>
                <w:t>a</w:t>
              </w:r>
              <w:r w:rsidR="00016DA8" w:rsidRPr="00016DA8">
                <w:rPr>
                  <w:rStyle w:val="Hyperlink"/>
                </w:rPr>
                <w:t>ined glass activity</w:t>
              </w:r>
            </w:hyperlink>
            <w:r w:rsidR="00016DA8">
              <w:t>. Complete the Stained Glass Blueprints, then the Design Your Own Stained Glass.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68E8F487" w14:textId="2E702C5D" w:rsidR="00FD6CF2" w:rsidRDefault="00FD6CF2" w:rsidP="00FD6CF2">
            <w:r>
              <w:t>A 1:25 scale drawing has been used for the shed below. The area to build the shed is a 5.1 m by 4 m rectangle. Will the shed fit into the space allocated? Explain and justify your conclusion</w:t>
            </w:r>
          </w:p>
          <w:p w14:paraId="4BF9CF96" w14:textId="118DD327" w:rsidR="00FD6CF2" w:rsidRDefault="00FD6CF2" w:rsidP="00FD6CF2">
            <w:r w:rsidRPr="00FD6CF2">
              <w:rPr>
                <w:noProof/>
              </w:rPr>
              <w:drawing>
                <wp:inline distT="0" distB="0" distL="0" distR="0" wp14:anchorId="08EA3485" wp14:editId="4EF268D5">
                  <wp:extent cx="1324535" cy="1441008"/>
                  <wp:effectExtent l="0" t="0" r="952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36" cy="145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EF0A4" w14:textId="082213E7" w:rsidR="00D824B3" w:rsidRDefault="00D824B3" w:rsidP="00FD6CF2"/>
        </w:tc>
        <w:tc>
          <w:tcPr>
            <w:tcW w:w="3150" w:type="dxa"/>
            <w:shd w:val="clear" w:color="auto" w:fill="FBD4B4" w:themeFill="accent6" w:themeFillTint="66"/>
          </w:tcPr>
          <w:p w14:paraId="675A97D8" w14:textId="3C791C89" w:rsidR="00D824B3" w:rsidRDefault="004159C4" w:rsidP="00D824B3">
            <w:r w:rsidRPr="004159C4">
              <w:t xml:space="preserve">You </w:t>
            </w:r>
            <w:r>
              <w:t>see a “</w:t>
            </w:r>
            <w:r w:rsidRPr="004159C4">
              <w:t>buy 2 pair</w:t>
            </w:r>
            <w:r w:rsidR="002E2C17">
              <w:t>s</w:t>
            </w:r>
            <w:r w:rsidRPr="004159C4">
              <w:t xml:space="preserve"> get 1 pair of equal or lesser value </w:t>
            </w:r>
            <w:r w:rsidR="002E2C17">
              <w:t>FREE</w:t>
            </w:r>
            <w:r>
              <w:t>”</w:t>
            </w:r>
            <w:r w:rsidRPr="004159C4">
              <w:t xml:space="preserve"> sale at the local shoe store. The problem is that you only want to get two pairs of shoes. So, you bring your best friend with you. </w:t>
            </w:r>
            <w:r>
              <w:t>You</w:t>
            </w:r>
            <w:r w:rsidRPr="004159C4">
              <w:t xml:space="preserve"> settle on two pairs of shoes – a sporty red pair for $20 and a dressy black pair for $55. You friend finds a practical </w:t>
            </w:r>
            <w:r>
              <w:t>sneaker</w:t>
            </w:r>
            <w:r w:rsidRPr="004159C4">
              <w:t xml:space="preserve"> for $35. When you proceed to the check out desk the cashier tells you that your bill is $90 plus tax. How much should each of you pay? Justify your decision.</w:t>
            </w:r>
          </w:p>
        </w:tc>
      </w:tr>
      <w:tr w:rsidR="00D824B3" w14:paraId="66417BED" w14:textId="77777777" w:rsidTr="00272C1A">
        <w:tc>
          <w:tcPr>
            <w:tcW w:w="3168" w:type="dxa"/>
          </w:tcPr>
          <w:p w14:paraId="665C96B9" w14:textId="77777777" w:rsidR="00D824B3" w:rsidRDefault="00D824B3" w:rsidP="00D824B3">
            <w:r>
              <w:t>Connecting and reflecting</w:t>
            </w:r>
          </w:p>
          <w:p w14:paraId="090F3504" w14:textId="77777777" w:rsidR="00D824B3" w:rsidRDefault="00D824B3" w:rsidP="00D824B3">
            <w:pPr>
              <w:pStyle w:val="ListParagraph"/>
              <w:numPr>
                <w:ilvl w:val="0"/>
                <w:numId w:val="1"/>
              </w:numPr>
            </w:pPr>
            <w:r>
              <w:t>Connect concepts</w:t>
            </w:r>
          </w:p>
          <w:p w14:paraId="27718CF5" w14:textId="77777777" w:rsidR="00D824B3" w:rsidRDefault="00D824B3" w:rsidP="00D824B3">
            <w:pPr>
              <w:pStyle w:val="ListParagraph"/>
              <w:numPr>
                <w:ilvl w:val="0"/>
                <w:numId w:val="1"/>
              </w:numPr>
            </w:pPr>
            <w:r>
              <w:t>Indigenous Perspectives</w:t>
            </w:r>
          </w:p>
          <w:p w14:paraId="4A3956D0" w14:textId="77777777" w:rsidR="00D824B3" w:rsidRDefault="00D824B3" w:rsidP="00D824B3"/>
        </w:tc>
        <w:tc>
          <w:tcPr>
            <w:tcW w:w="3150" w:type="dxa"/>
            <w:shd w:val="clear" w:color="auto" w:fill="E5B8B7" w:themeFill="accent2" w:themeFillTint="66"/>
          </w:tcPr>
          <w:p w14:paraId="14C4522A" w14:textId="46A75920" w:rsidR="00D824B3" w:rsidRDefault="00D824B3" w:rsidP="00D824B3">
            <w:bookmarkStart w:id="1" w:name="_Hlk54689227"/>
            <w:r>
              <w:t xml:space="preserve">Below are the first stages of Sierpinski’s Triangle. In each stage a triangle 1/4 of the size of each existing black triangle is cut out from the centre of the black triangle. Construct and answer </w:t>
            </w:r>
            <w:hyperlink r:id="rId19" w:history="1">
              <w:r w:rsidRPr="00395EC0">
                <w:rPr>
                  <w:rStyle w:val="Hyperlink"/>
                </w:rPr>
                <w:t>these questions</w:t>
              </w:r>
            </w:hyperlink>
            <w:r>
              <w:t>.</w:t>
            </w:r>
            <w:r w:rsidRPr="00A27422">
              <w:rPr>
                <w:noProof/>
                <w:lang w:val="en-US"/>
              </w:rPr>
              <w:drawing>
                <wp:inline distT="0" distB="0" distL="0" distR="0" wp14:anchorId="4E076692" wp14:editId="643E5DCB">
                  <wp:extent cx="1548882" cy="521970"/>
                  <wp:effectExtent l="76200" t="76200" r="70485" b="1066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r="16865"/>
                          <a:stretch/>
                        </pic:blipFill>
                        <pic:spPr bwMode="auto">
                          <a:xfrm>
                            <a:off x="0" y="0"/>
                            <a:ext cx="1548882" cy="5219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noFill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150" w:type="dxa"/>
            <w:shd w:val="clear" w:color="auto" w:fill="C2D69B" w:themeFill="accent3" w:themeFillTint="99"/>
          </w:tcPr>
          <w:p w14:paraId="4BAB695E" w14:textId="77777777" w:rsidR="00D824B3" w:rsidRPr="00105296" w:rsidRDefault="00CE761B" w:rsidP="00105296">
            <w:pPr>
              <w:spacing w:line="276" w:lineRule="auto"/>
              <w:rPr>
                <w:rFonts w:eastAsiaTheme="minorEastAsia"/>
              </w:rPr>
            </w:pPr>
            <w:r>
              <w:t xml:space="preserve">In the rational number </w:t>
            </w:r>
            <w:r w:rsidR="00105296" w:rsidRPr="00105296">
              <w:rPr>
                <w:sz w:val="28"/>
                <w:szCs w:val="28"/>
              </w:rPr>
              <w:t>–</w:t>
            </w:r>
            <w:r w:rsidRPr="00105296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den>
              </m:f>
            </m:oMath>
          </w:p>
          <w:p w14:paraId="4A90DE9D" w14:textId="3D7490A4" w:rsidR="00105296" w:rsidRPr="00105296" w:rsidRDefault="00105296" w:rsidP="00D82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 both A and B are positive, does the number usually change more if you increase A by 1 or if you increase B by 1.? Explain your answer.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32B90035" w14:textId="30EF6018" w:rsidR="00D824B3" w:rsidRDefault="000D2CBB" w:rsidP="00D824B3">
            <w:r>
              <w:t xml:space="preserve">Challenge yourself by running through </w:t>
            </w:r>
            <w:hyperlink r:id="rId21" w:history="1">
              <w:r w:rsidRPr="004B02C0">
                <w:rPr>
                  <w:rStyle w:val="Hyperlink"/>
                </w:rPr>
                <w:t>the</w:t>
              </w:r>
              <w:r w:rsidRPr="004B02C0">
                <w:rPr>
                  <w:rStyle w:val="Hyperlink"/>
                </w:rPr>
                <w:t>s</w:t>
              </w:r>
              <w:r w:rsidRPr="004B02C0">
                <w:rPr>
                  <w:rStyle w:val="Hyperlink"/>
                </w:rPr>
                <w:t xml:space="preserve">e </w:t>
              </w:r>
              <w:r w:rsidR="004B02C0" w:rsidRPr="004B02C0">
                <w:rPr>
                  <w:rStyle w:val="Hyperlink"/>
                </w:rPr>
                <w:t>challenges</w:t>
              </w:r>
            </w:hyperlink>
            <w:r w:rsidR="004B02C0">
              <w:t xml:space="preserve"> on pHet. How many levels can you do? Take some screen shots to provide evidence.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7E49BC8E" w14:textId="2FD8A0C1" w:rsidR="00D824B3" w:rsidRDefault="000B039C" w:rsidP="00D824B3">
            <w:r>
              <w:t xml:space="preserve">Complete </w:t>
            </w:r>
            <w:hyperlink r:id="rId22" w:history="1">
              <w:r w:rsidRPr="00D04E2A">
                <w:rPr>
                  <w:rStyle w:val="Hyperlink"/>
                </w:rPr>
                <w:t>this mapping activity</w:t>
              </w:r>
            </w:hyperlink>
            <w:r>
              <w:t xml:space="preserve"> called A Map of Home</w:t>
            </w:r>
            <w:r w:rsidR="000E2249">
              <w:t xml:space="preserve"> (Adapted from FNESC Math First Peoples)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6DD3827A" w14:textId="77FD177B" w:rsidR="00D824B3" w:rsidRDefault="00621D44" w:rsidP="00D824B3">
            <w:r>
              <w:t xml:space="preserve">Play the </w:t>
            </w:r>
            <w:hyperlink r:id="rId23" w:history="1">
              <w:r w:rsidRPr="00D04E2A">
                <w:rPr>
                  <w:rStyle w:val="Hyperlink"/>
                </w:rPr>
                <w:t>Stick Game</w:t>
              </w:r>
            </w:hyperlink>
            <w:r>
              <w:t xml:space="preserve"> and answer the discussion about the probabilities involved.</w:t>
            </w:r>
          </w:p>
        </w:tc>
      </w:tr>
      <w:tr w:rsidR="00D824B3" w14:paraId="74E4DF6D" w14:textId="77777777" w:rsidTr="00272C1A">
        <w:tc>
          <w:tcPr>
            <w:tcW w:w="3168" w:type="dxa"/>
          </w:tcPr>
          <w:p w14:paraId="4FD45E58" w14:textId="5B3DEE8C" w:rsidR="00D824B3" w:rsidRPr="000A4542" w:rsidRDefault="00D824B3" w:rsidP="00D824B3">
            <w:pPr>
              <w:rPr>
                <w:sz w:val="40"/>
                <w:szCs w:val="40"/>
              </w:rPr>
            </w:pPr>
            <w:r w:rsidRPr="000A4542">
              <w:rPr>
                <w:sz w:val="40"/>
                <w:szCs w:val="40"/>
              </w:rPr>
              <w:t>Resources to learn each topic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14:paraId="4C7FBDEF" w14:textId="77777777" w:rsidR="00D824B3" w:rsidRPr="00B02BC0" w:rsidRDefault="00132A19" w:rsidP="00D824B3">
            <w:pPr>
              <w:rPr>
                <w:sz w:val="24"/>
                <w:szCs w:val="24"/>
              </w:rPr>
            </w:pPr>
            <w:hyperlink r:id="rId24" w:history="1">
              <w:r w:rsidR="00D824B3" w:rsidRPr="00B02BC0">
                <w:rPr>
                  <w:rStyle w:val="Hyperlink"/>
                  <w:sz w:val="24"/>
                  <w:szCs w:val="24"/>
                </w:rPr>
                <w:t>Evaluating Statements about Radicals</w:t>
              </w:r>
            </w:hyperlink>
            <w:r w:rsidR="00D824B3" w:rsidRPr="00B02BC0">
              <w:rPr>
                <w:sz w:val="24"/>
                <w:szCs w:val="24"/>
              </w:rPr>
              <w:t xml:space="preserve"> math unit</w:t>
            </w:r>
          </w:p>
          <w:p w14:paraId="67A15B54" w14:textId="77777777" w:rsidR="00D824B3" w:rsidRDefault="00132A19" w:rsidP="00D824B3">
            <w:pPr>
              <w:rPr>
                <w:sz w:val="24"/>
                <w:szCs w:val="24"/>
              </w:rPr>
            </w:pPr>
            <w:hyperlink r:id="rId25" w:history="1">
              <w:r w:rsidR="00D824B3" w:rsidRPr="00B02BC0">
                <w:rPr>
                  <w:rStyle w:val="Hyperlink"/>
                  <w:sz w:val="24"/>
                  <w:szCs w:val="24"/>
                </w:rPr>
                <w:t>CEMC materials</w:t>
              </w:r>
            </w:hyperlink>
            <w:r w:rsidR="00D824B3" w:rsidRPr="00B02BC0">
              <w:rPr>
                <w:sz w:val="24"/>
                <w:szCs w:val="24"/>
              </w:rPr>
              <w:t xml:space="preserve"> on Exponents and Radicals</w:t>
            </w:r>
          </w:p>
          <w:p w14:paraId="213437E7" w14:textId="3D97A15D" w:rsidR="00D824B3" w:rsidRPr="000A4542" w:rsidRDefault="00132A19" w:rsidP="00D824B3">
            <w:pPr>
              <w:rPr>
                <w:sz w:val="32"/>
                <w:szCs w:val="32"/>
              </w:rPr>
            </w:pPr>
            <w:hyperlink r:id="rId26" w:history="1">
              <w:r w:rsidR="00D824B3" w:rsidRPr="008E15E7">
                <w:rPr>
                  <w:rStyle w:val="Hyperlink"/>
                  <w:sz w:val="24"/>
                  <w:szCs w:val="24"/>
                </w:rPr>
                <w:t>Exponent Card Game</w:t>
              </w:r>
            </w:hyperlink>
          </w:p>
        </w:tc>
        <w:tc>
          <w:tcPr>
            <w:tcW w:w="3150" w:type="dxa"/>
            <w:shd w:val="clear" w:color="auto" w:fill="C2D69B" w:themeFill="accent3" w:themeFillTint="99"/>
          </w:tcPr>
          <w:p w14:paraId="6B515BE7" w14:textId="1965AEA4" w:rsidR="00D824B3" w:rsidRPr="00B02BC0" w:rsidRDefault="00D824B3" w:rsidP="00D824B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2A1C7" w:themeFill="accent4" w:themeFillTint="99"/>
          </w:tcPr>
          <w:p w14:paraId="6943C7BA" w14:textId="77777777" w:rsidR="00D824B3" w:rsidRDefault="00132A19" w:rsidP="00D824B3">
            <w:pPr>
              <w:rPr>
                <w:sz w:val="24"/>
                <w:szCs w:val="24"/>
              </w:rPr>
            </w:pPr>
            <w:hyperlink r:id="rId27" w:history="1">
              <w:r w:rsidR="00D824B3" w:rsidRPr="00B02BC0">
                <w:rPr>
                  <w:rStyle w:val="Hyperlink"/>
                  <w:sz w:val="24"/>
                  <w:szCs w:val="24"/>
                </w:rPr>
                <w:t>Weaving and Math</w:t>
              </w:r>
            </w:hyperlink>
            <w:r w:rsidR="00D824B3" w:rsidRPr="00B02BC0">
              <w:rPr>
                <w:sz w:val="24"/>
                <w:szCs w:val="24"/>
              </w:rPr>
              <w:t xml:space="preserve"> from SD41 Indigenous Educators</w:t>
            </w:r>
          </w:p>
          <w:p w14:paraId="2EF2D122" w14:textId="77777777" w:rsidR="00D0447F" w:rsidRDefault="00D0447F" w:rsidP="00D824B3">
            <w:pPr>
              <w:rPr>
                <w:sz w:val="24"/>
                <w:szCs w:val="24"/>
              </w:rPr>
            </w:pPr>
          </w:p>
          <w:p w14:paraId="106D141A" w14:textId="25B0437F" w:rsidR="00D0447F" w:rsidRDefault="00D0447F" w:rsidP="00D8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DESMOS activity </w:t>
            </w:r>
            <w:hyperlink r:id="rId28" w:history="1">
              <w:r w:rsidRPr="00CA5EAF">
                <w:rPr>
                  <w:rStyle w:val="Hyperlink"/>
                  <w:sz w:val="24"/>
                  <w:szCs w:val="24"/>
                </w:rPr>
                <w:t>teacher info</w:t>
              </w:r>
            </w:hyperlink>
            <w:r>
              <w:rPr>
                <w:sz w:val="24"/>
                <w:szCs w:val="24"/>
              </w:rPr>
              <w:t xml:space="preserve">: </w:t>
            </w:r>
          </w:p>
          <w:p w14:paraId="48A00189" w14:textId="77777777" w:rsidR="00D0447F" w:rsidRDefault="00D0447F" w:rsidP="00D824B3">
            <w:pPr>
              <w:rPr>
                <w:sz w:val="24"/>
                <w:szCs w:val="24"/>
              </w:rPr>
            </w:pPr>
          </w:p>
          <w:p w14:paraId="2B3F9598" w14:textId="501697B2" w:rsidR="00D0447F" w:rsidRPr="00B02BC0" w:rsidRDefault="00D0447F" w:rsidP="00D824B3">
            <w:pPr>
              <w:rPr>
                <w:sz w:val="24"/>
                <w:szCs w:val="24"/>
              </w:rPr>
            </w:pPr>
            <w:r w:rsidRPr="00D0447F">
              <w:rPr>
                <w:sz w:val="24"/>
                <w:szCs w:val="24"/>
              </w:rPr>
              <w:t>http://www.troup.org/userfiles/929/My%20Files/MS%20Math/8%20Math/8th%20Unit%204/Concept%202/comparing%20functions.pdf?id=11501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0C2B6B54" w14:textId="77777777" w:rsidR="00D824B3" w:rsidRDefault="00132A19" w:rsidP="00D824B3">
            <w:pPr>
              <w:rPr>
                <w:sz w:val="24"/>
                <w:szCs w:val="24"/>
              </w:rPr>
            </w:pPr>
            <w:hyperlink r:id="rId29" w:history="1">
              <w:r w:rsidR="00D824B3" w:rsidRPr="00F96F27">
                <w:rPr>
                  <w:rStyle w:val="Hyperlink"/>
                  <w:sz w:val="24"/>
                  <w:szCs w:val="24"/>
                </w:rPr>
                <w:t>FNESC Guide</w:t>
              </w:r>
            </w:hyperlink>
            <w:r w:rsidR="00D824B3">
              <w:rPr>
                <w:sz w:val="24"/>
                <w:szCs w:val="24"/>
              </w:rPr>
              <w:t xml:space="preserve"> to math</w:t>
            </w:r>
          </w:p>
          <w:p w14:paraId="2A269C59" w14:textId="77777777" w:rsidR="0009066A" w:rsidRDefault="0009066A" w:rsidP="00D824B3">
            <w:pPr>
              <w:rPr>
                <w:sz w:val="24"/>
                <w:szCs w:val="24"/>
              </w:rPr>
            </w:pPr>
          </w:p>
          <w:p w14:paraId="502E43F4" w14:textId="77777777" w:rsidR="00410753" w:rsidRDefault="00410753" w:rsidP="00D824B3">
            <w:pPr>
              <w:rPr>
                <w:sz w:val="24"/>
                <w:szCs w:val="24"/>
              </w:rPr>
            </w:pPr>
          </w:p>
          <w:p w14:paraId="53DA6FF4" w14:textId="154F7B80" w:rsidR="00410753" w:rsidRDefault="000E2249" w:rsidP="00D824B3">
            <w:pPr>
              <w:rPr>
                <w:sz w:val="24"/>
                <w:szCs w:val="24"/>
              </w:rPr>
            </w:pPr>
            <w:hyperlink r:id="rId30" w:history="1">
              <w:r w:rsidRPr="00E13CDE">
                <w:rPr>
                  <w:rStyle w:val="Hyperlink"/>
                  <w:sz w:val="24"/>
                  <w:szCs w:val="24"/>
                </w:rPr>
                <w:t>https://amsi.org.au/teacher_modules/Scale_drawings_and_similarity.html#Scale_drawings</w:t>
              </w:r>
            </w:hyperlink>
          </w:p>
          <w:p w14:paraId="415AB89E" w14:textId="1752858F" w:rsidR="000E2249" w:rsidRPr="00B02BC0" w:rsidRDefault="000E2249" w:rsidP="00D824B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BD4B4" w:themeFill="accent6" w:themeFillTint="66"/>
          </w:tcPr>
          <w:p w14:paraId="4BCBDDD1" w14:textId="77777777" w:rsidR="00D824B3" w:rsidRPr="00CA5EAF" w:rsidRDefault="00471B03" w:rsidP="00D824B3">
            <w:pPr>
              <w:rPr>
                <w:sz w:val="24"/>
                <w:szCs w:val="24"/>
              </w:rPr>
            </w:pPr>
            <w:r w:rsidRPr="00CA5EAF">
              <w:rPr>
                <w:sz w:val="24"/>
                <w:szCs w:val="24"/>
              </w:rPr>
              <w:t>Mathematics Lessons to Explore, Understand and Respond to Social Injustice</w:t>
            </w:r>
          </w:p>
          <w:p w14:paraId="74270E76" w14:textId="39E4C65F" w:rsidR="00471B03" w:rsidRPr="00CA5EAF" w:rsidRDefault="00471B03" w:rsidP="00D824B3">
            <w:pPr>
              <w:rPr>
                <w:sz w:val="24"/>
                <w:szCs w:val="24"/>
              </w:rPr>
            </w:pPr>
          </w:p>
          <w:p w14:paraId="189B0E2B" w14:textId="3B63CE22" w:rsidR="00CA5EAF" w:rsidRPr="00CA5EAF" w:rsidRDefault="00CA5EAF" w:rsidP="00D824B3">
            <w:pPr>
              <w:rPr>
                <w:sz w:val="24"/>
                <w:szCs w:val="24"/>
              </w:rPr>
            </w:pPr>
            <w:r w:rsidRPr="00CA5EAF">
              <w:rPr>
                <w:sz w:val="24"/>
                <w:szCs w:val="24"/>
              </w:rPr>
              <w:t xml:space="preserve">Peter Liljedahl’s </w:t>
            </w:r>
            <w:hyperlink r:id="rId31" w:history="1">
              <w:r w:rsidRPr="00CA5EAF">
                <w:rPr>
                  <w:rStyle w:val="Hyperlink"/>
                  <w:sz w:val="24"/>
                  <w:szCs w:val="24"/>
                </w:rPr>
                <w:t>Numeracy Tasks</w:t>
              </w:r>
            </w:hyperlink>
          </w:p>
          <w:p w14:paraId="50695B6A" w14:textId="67098B04" w:rsidR="00471B03" w:rsidRPr="000A4542" w:rsidRDefault="00471B03" w:rsidP="00D824B3">
            <w:pPr>
              <w:rPr>
                <w:sz w:val="32"/>
                <w:szCs w:val="32"/>
              </w:rPr>
            </w:pPr>
          </w:p>
        </w:tc>
      </w:tr>
    </w:tbl>
    <w:p w14:paraId="3E53246C" w14:textId="28B5A5E8" w:rsidR="00D500B5" w:rsidRDefault="00D500B5" w:rsidP="00D04E2A"/>
    <w:sectPr w:rsidR="00D500B5" w:rsidSect="0065784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B5D7" w14:textId="77777777" w:rsidR="00D824B3" w:rsidRDefault="00D824B3" w:rsidP="00D824B3">
      <w:pPr>
        <w:spacing w:after="0" w:line="240" w:lineRule="auto"/>
      </w:pPr>
      <w:r>
        <w:separator/>
      </w:r>
    </w:p>
  </w:endnote>
  <w:endnote w:type="continuationSeparator" w:id="0">
    <w:p w14:paraId="0C87CA90" w14:textId="77777777" w:rsidR="00D824B3" w:rsidRDefault="00D824B3" w:rsidP="00D8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423A" w14:textId="77777777" w:rsidR="00D824B3" w:rsidRDefault="00D824B3" w:rsidP="00D824B3">
      <w:pPr>
        <w:spacing w:after="0" w:line="240" w:lineRule="auto"/>
      </w:pPr>
      <w:r>
        <w:separator/>
      </w:r>
    </w:p>
  </w:footnote>
  <w:footnote w:type="continuationSeparator" w:id="0">
    <w:p w14:paraId="3F5D03C4" w14:textId="77777777" w:rsidR="00D824B3" w:rsidRDefault="00D824B3" w:rsidP="00D8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98C"/>
    <w:multiLevelType w:val="multilevel"/>
    <w:tmpl w:val="6FF4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E2B96"/>
    <w:multiLevelType w:val="multilevel"/>
    <w:tmpl w:val="AA24B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B393C"/>
    <w:multiLevelType w:val="hybridMultilevel"/>
    <w:tmpl w:val="A2BA5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32E2"/>
    <w:multiLevelType w:val="multilevel"/>
    <w:tmpl w:val="A2202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C2595"/>
    <w:multiLevelType w:val="multilevel"/>
    <w:tmpl w:val="0088E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C107F"/>
    <w:multiLevelType w:val="hybridMultilevel"/>
    <w:tmpl w:val="2C004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418"/>
    <w:multiLevelType w:val="multilevel"/>
    <w:tmpl w:val="598A7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A3B2D"/>
    <w:multiLevelType w:val="multilevel"/>
    <w:tmpl w:val="F4A29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D3B83"/>
    <w:multiLevelType w:val="hybridMultilevel"/>
    <w:tmpl w:val="ABEAB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7084F"/>
    <w:multiLevelType w:val="hybridMultilevel"/>
    <w:tmpl w:val="DDE89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7BF9"/>
    <w:multiLevelType w:val="multilevel"/>
    <w:tmpl w:val="8A380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A34F8"/>
    <w:multiLevelType w:val="hybridMultilevel"/>
    <w:tmpl w:val="819CA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0B5"/>
    <w:rsid w:val="00016DA8"/>
    <w:rsid w:val="000646CC"/>
    <w:rsid w:val="0009066A"/>
    <w:rsid w:val="000A4542"/>
    <w:rsid w:val="000B039C"/>
    <w:rsid w:val="000D2CBB"/>
    <w:rsid w:val="000E2249"/>
    <w:rsid w:val="00105296"/>
    <w:rsid w:val="00132A19"/>
    <w:rsid w:val="001A6BF4"/>
    <w:rsid w:val="001E727D"/>
    <w:rsid w:val="00237E7E"/>
    <w:rsid w:val="00272C1A"/>
    <w:rsid w:val="00286CCD"/>
    <w:rsid w:val="002E2C17"/>
    <w:rsid w:val="00315116"/>
    <w:rsid w:val="00323561"/>
    <w:rsid w:val="00336B17"/>
    <w:rsid w:val="00395EC0"/>
    <w:rsid w:val="003B0FBD"/>
    <w:rsid w:val="003F1EF2"/>
    <w:rsid w:val="00410753"/>
    <w:rsid w:val="004159C4"/>
    <w:rsid w:val="0044196F"/>
    <w:rsid w:val="0044790A"/>
    <w:rsid w:val="00471B03"/>
    <w:rsid w:val="004B02C0"/>
    <w:rsid w:val="004F4312"/>
    <w:rsid w:val="004F64A2"/>
    <w:rsid w:val="00621D44"/>
    <w:rsid w:val="00634EDD"/>
    <w:rsid w:val="0065784A"/>
    <w:rsid w:val="00680E21"/>
    <w:rsid w:val="00691D45"/>
    <w:rsid w:val="006C25B9"/>
    <w:rsid w:val="007456A3"/>
    <w:rsid w:val="00786C1B"/>
    <w:rsid w:val="007A0BE4"/>
    <w:rsid w:val="007D703B"/>
    <w:rsid w:val="008E15E7"/>
    <w:rsid w:val="008F52D7"/>
    <w:rsid w:val="0090347A"/>
    <w:rsid w:val="009212D8"/>
    <w:rsid w:val="009338EE"/>
    <w:rsid w:val="00935E88"/>
    <w:rsid w:val="009813F1"/>
    <w:rsid w:val="009B4286"/>
    <w:rsid w:val="009D6B88"/>
    <w:rsid w:val="00A05C31"/>
    <w:rsid w:val="00A27422"/>
    <w:rsid w:val="00AF3B43"/>
    <w:rsid w:val="00B02BC0"/>
    <w:rsid w:val="00B30B03"/>
    <w:rsid w:val="00B3785C"/>
    <w:rsid w:val="00B54698"/>
    <w:rsid w:val="00BB5E25"/>
    <w:rsid w:val="00BB6E6B"/>
    <w:rsid w:val="00BC1917"/>
    <w:rsid w:val="00BC5343"/>
    <w:rsid w:val="00BC6A93"/>
    <w:rsid w:val="00BF0F03"/>
    <w:rsid w:val="00C52C0D"/>
    <w:rsid w:val="00C566BA"/>
    <w:rsid w:val="00C6088D"/>
    <w:rsid w:val="00CA5EAF"/>
    <w:rsid w:val="00CD4B6D"/>
    <w:rsid w:val="00CE761B"/>
    <w:rsid w:val="00D0447F"/>
    <w:rsid w:val="00D04E2A"/>
    <w:rsid w:val="00D1582E"/>
    <w:rsid w:val="00D211F1"/>
    <w:rsid w:val="00D500B5"/>
    <w:rsid w:val="00D55FDA"/>
    <w:rsid w:val="00D824B3"/>
    <w:rsid w:val="00E04A86"/>
    <w:rsid w:val="00E52F2D"/>
    <w:rsid w:val="00F40DB7"/>
    <w:rsid w:val="00F533CE"/>
    <w:rsid w:val="00F6512D"/>
    <w:rsid w:val="00F6577C"/>
    <w:rsid w:val="00F65ADF"/>
    <w:rsid w:val="00F96F27"/>
    <w:rsid w:val="00FA0A72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BE6FF"/>
  <w15:docId w15:val="{3012C1C8-0F56-4C46-ADBF-35BC9A5F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1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DB7"/>
    <w:pPr>
      <w:ind w:left="720"/>
      <w:contextualSpacing/>
    </w:pPr>
  </w:style>
  <w:style w:type="paragraph" w:customStyle="1" w:styleId="zfr3q">
    <w:name w:val="zfr3q"/>
    <w:basedOn w:val="Normal"/>
    <w:rsid w:val="008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F52D7"/>
    <w:rPr>
      <w:b/>
      <w:bCs/>
    </w:rPr>
  </w:style>
  <w:style w:type="character" w:styleId="Emphasis">
    <w:name w:val="Emphasis"/>
    <w:basedOn w:val="DefaultParagraphFont"/>
    <w:uiPriority w:val="20"/>
    <w:qFormat/>
    <w:rsid w:val="008F52D7"/>
    <w:rPr>
      <w:i/>
      <w:iCs/>
    </w:rPr>
  </w:style>
  <w:style w:type="character" w:customStyle="1" w:styleId="aw5odc">
    <w:name w:val="aw5odc"/>
    <w:basedOn w:val="DefaultParagraphFont"/>
    <w:rsid w:val="008F52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8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D8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F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B3"/>
  </w:style>
  <w:style w:type="paragraph" w:styleId="Footer">
    <w:name w:val="footer"/>
    <w:basedOn w:val="Normal"/>
    <w:link w:val="FooterChar"/>
    <w:uiPriority w:val="99"/>
    <w:unhideWhenUsed/>
    <w:rsid w:val="00D8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B3"/>
  </w:style>
  <w:style w:type="character" w:styleId="UnresolvedMention">
    <w:name w:val="Unresolved Mention"/>
    <w:basedOn w:val="DefaultParagraphFont"/>
    <w:uiPriority w:val="99"/>
    <w:semiHidden/>
    <w:unhideWhenUsed/>
    <w:rsid w:val="00D824B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5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6402" TargetMode="External"/><Relationship Id="rId13" Type="http://schemas.openxmlformats.org/officeDocument/2006/relationships/hyperlink" Target="http://blogs.sd41.bc.ca/math/files/2020/11/A-False-Positive.docx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learn-with-math-games.com/exponent-ga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et.colorado.edu/en/simulation/graphing-lines" TargetMode="External"/><Relationship Id="rId7" Type="http://schemas.openxmlformats.org/officeDocument/2006/relationships/hyperlink" Target="http://blogs.sd41.bc.ca/math/files/2020/11/Evaluating-Statements-about-Radicals-Gr-9.pdf" TargetMode="External"/><Relationship Id="rId12" Type="http://schemas.openxmlformats.org/officeDocument/2006/relationships/hyperlink" Target="https://www.theatlantic.com/business/archive/2014/05/is-drug-testing-boosting-employment-for-african-americans/361885/" TargetMode="External"/><Relationship Id="rId17" Type="http://schemas.openxmlformats.org/officeDocument/2006/relationships/hyperlink" Target="https://vickimasseywordpress.files.wordpress.com/2017/03/8-stained-glass-project.pdf" TargetMode="External"/><Relationship Id="rId25" Type="http://schemas.openxmlformats.org/officeDocument/2006/relationships/hyperlink" Target="https://www.cemc.uwaterloo.ca/events/mathcircles/2009-10/Junior_Feb17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hi61nm2cr3mkdgk1dtaov18-wpengine.netdna-ssl.com/wp-content/uploads/2019/01/Exploring-Exponents-Handout.pdf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www.fnesc.ca/wp/wp-content/uploads/2020/09/PUBLICATION-Math-FP-TRG-2020-09-0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hn.org/news/liquid-gold-pain-doctors-soak-up-profits-by-screening-urine-for-drugs/" TargetMode="External"/><Relationship Id="rId24" Type="http://schemas.openxmlformats.org/officeDocument/2006/relationships/hyperlink" Target="https://www.map.mathshell.org/download.php?fileid=171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logs.sd41.bc.ca/math/files/2020/11/Design-a-Dwelling.docx" TargetMode="External"/><Relationship Id="rId23" Type="http://schemas.openxmlformats.org/officeDocument/2006/relationships/hyperlink" Target="http://blogs.sd41.bc.ca/math/files/2020/11/Stick-Game.pdf" TargetMode="External"/><Relationship Id="rId28" Type="http://schemas.openxmlformats.org/officeDocument/2006/relationships/hyperlink" Target="https://teacher.desmos.com/activitybuilder/custom/5605bb5f00701ed10fb09314?collections=5e73b204d560367270838c4b" TargetMode="External"/><Relationship Id="rId10" Type="http://schemas.openxmlformats.org/officeDocument/2006/relationships/hyperlink" Target="http://blogs.sd41.bc.ca/math/files/2020/11/Cathedral-Photo.png" TargetMode="External"/><Relationship Id="rId19" Type="http://schemas.openxmlformats.org/officeDocument/2006/relationships/hyperlink" Target="http://blogs.sd41.bc.ca/math/files/2020/11/Math-9-Sierpinski-Triangle.docx" TargetMode="External"/><Relationship Id="rId31" Type="http://schemas.openxmlformats.org/officeDocument/2006/relationships/hyperlink" Target="http://www.peterliljedahl.com/teachers/numeracy-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.desmos.com/join/88tdkf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blogs.sd41.bc.ca/math/files/2020/11/A-Map-Is-A-Story-Of-Me.docx" TargetMode="External"/><Relationship Id="rId27" Type="http://schemas.openxmlformats.org/officeDocument/2006/relationships/hyperlink" Target="https://burnabyschools.ca/indigenouseducation/wp-content/uploads/sites/4/2017/11/weaving-math.compressed.pdf" TargetMode="External"/><Relationship Id="rId30" Type="http://schemas.openxmlformats.org/officeDocument/2006/relationships/hyperlink" Target="https://amsi.org.au/teacher_modules/Scale_drawings_and_similarity.html#Scale_draw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28</cp:revision>
  <dcterms:created xsi:type="dcterms:W3CDTF">2020-09-28T19:26:00Z</dcterms:created>
  <dcterms:modified xsi:type="dcterms:W3CDTF">2020-11-24T20:24:00Z</dcterms:modified>
</cp:coreProperties>
</file>