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64" w:rsidRDefault="00B75A64" w:rsidP="00B75A64">
      <w:pPr>
        <w:pStyle w:val="Pa51"/>
        <w:rPr>
          <w:rFonts w:cs="Palatino"/>
          <w:color w:val="000000"/>
          <w:sz w:val="16"/>
          <w:szCs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010"/>
        <w:gridCol w:w="2010"/>
        <w:gridCol w:w="2010"/>
        <w:gridCol w:w="2010"/>
      </w:tblGrid>
      <w:tr w:rsidR="00B75A64" w:rsidTr="00F5631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0" w:type="dxa"/>
            <w:shd w:val="clear" w:color="auto" w:fill="E0E0E0"/>
          </w:tcPr>
          <w:p w:rsidR="00B75A64" w:rsidRDefault="00B75A64" w:rsidP="00B75A6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10" w:type="dxa"/>
            <w:shd w:val="clear" w:color="auto" w:fill="E0E0E0"/>
          </w:tcPr>
          <w:p w:rsidR="00B75A64" w:rsidRDefault="00B75A64" w:rsidP="00B75A6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2010" w:type="dxa"/>
            <w:shd w:val="clear" w:color="auto" w:fill="E0E0E0"/>
          </w:tcPr>
          <w:p w:rsidR="00B75A64" w:rsidRDefault="00B75A64" w:rsidP="00B75A6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B75A64" w:rsidRDefault="00B75A64" w:rsidP="00B75A6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2010" w:type="dxa"/>
            <w:shd w:val="clear" w:color="auto" w:fill="E0E0E0"/>
          </w:tcPr>
          <w:p w:rsidR="00B75A64" w:rsidRDefault="00B75A64" w:rsidP="00B75A6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2010" w:type="dxa"/>
            <w:shd w:val="clear" w:color="auto" w:fill="E0E0E0"/>
          </w:tcPr>
          <w:p w:rsidR="00B75A64" w:rsidRDefault="00B75A64" w:rsidP="00B75A6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B75A64" w:rsidTr="00F56318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2040" w:type="dxa"/>
          </w:tcPr>
          <w:p w:rsidR="00B75A64" w:rsidRDefault="00B75A64" w:rsidP="00F74201">
            <w:pPr>
              <w:pStyle w:val="Pa51"/>
              <w:spacing w:before="60" w:after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Strategies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logical connections to prior knowledge and beliefs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relevant questions to sustain and extend interactions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connections to prior knowledge and beliefs, with teacher support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sustain interactions, with teacher support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concrete connections to prior knowledge and beliefs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some questions to sustain interactions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logical connections to prior knowledge and beliefs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 relevant questions to sustain and extend interactions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insightful connections to prior knowledge and beliefs; may analyse or evaluate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a variety of questions to sustain and extend interactions, and find out others’ views</w:t>
            </w:r>
          </w:p>
        </w:tc>
      </w:tr>
      <w:tr w:rsidR="00B75A64" w:rsidTr="00F56318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2040" w:type="dxa"/>
          </w:tcPr>
          <w:p w:rsidR="00B75A64" w:rsidRDefault="00B75A64" w:rsidP="00F74201">
            <w:pPr>
              <w:pStyle w:val="Pa51"/>
              <w:spacing w:before="60" w:after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EXCHANGING IDEAS/ INFORMATION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expresses views appropriately with relevant supporting reasons 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evaluates solutions/options and explores implications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includes technically accurate and relevant details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speculates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expresses views 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solutions and options, with teacher support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 accurate details, with teacher support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limited speculation, with teacher support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views appropriately, with some reasons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identifies and sometimes evaluates solutions and options 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 accurate, relevant details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limited speculation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expresses views appropriately with relevant supporting reasons 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evaluates solutions or options; explores implications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technically accurate, specific, relevant details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speculates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views effectively, with some convincing reasons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systematically evaluates 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solutions or options; analyses and considers implications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chooses effective and convincing detail; scientifically accurate, specific, relevant</w:t>
            </w:r>
          </w:p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speculates reasonably and insightfully</w:t>
            </w:r>
          </w:p>
        </w:tc>
      </w:tr>
      <w:tr w:rsidR="00B75A64" w:rsidTr="00F563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40" w:type="dxa"/>
          </w:tcPr>
          <w:p w:rsidR="00B75A64" w:rsidRDefault="00B75A64" w:rsidP="00F74201">
            <w:pPr>
              <w:pStyle w:val="Pa212"/>
              <w:spacing w:before="60" w:after="60"/>
              <w:ind w:left="180" w:hanging="18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 xml:space="preserve">LISTENING </w:t>
            </w:r>
          </w:p>
          <w:p w:rsidR="00B75A64" w:rsidRDefault="00B75A64" w:rsidP="00F74201">
            <w:pPr>
              <w:pStyle w:val="Pa322"/>
              <w:spacing w:before="60" w:after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paraphrases opinions and views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paraphrases opinions and views, with teacher support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sometimes accurately paraphrases opinions and views 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paraphrases opinions and views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succinctly and effectively paraphrases opinions and views</w:t>
            </w:r>
          </w:p>
        </w:tc>
      </w:tr>
      <w:tr w:rsidR="00B75A64" w:rsidTr="00F563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40" w:type="dxa"/>
          </w:tcPr>
          <w:p w:rsidR="00B75A64" w:rsidRDefault="00B75A64" w:rsidP="00F74201">
            <w:pPr>
              <w:pStyle w:val="Pa402"/>
              <w:spacing w:before="60" w:after="60"/>
              <w:ind w:left="120" w:hanging="12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REFLECTION</w:t>
            </w:r>
          </w:p>
          <w:p w:rsidR="00B75A64" w:rsidRDefault="00B75A64" w:rsidP="00F74201">
            <w:pPr>
              <w:pStyle w:val="Pa322"/>
              <w:spacing w:before="60" w:after="6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contributes to and uses criteria to self-assess and set goals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assesses own behaviour; sets a simple goal, with teacher support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assesses own behaviour; sets a simple goal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and uses criteria to self-assess and set goals</w:t>
            </w:r>
          </w:p>
        </w:tc>
        <w:tc>
          <w:tcPr>
            <w:tcW w:w="2010" w:type="dxa"/>
          </w:tcPr>
          <w:p w:rsidR="00B75A64" w:rsidRDefault="00B75A64" w:rsidP="00F74201">
            <w:pPr>
              <w:pStyle w:val="Pa382"/>
              <w:spacing w:before="60" w:after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assesses own behaviour; shows insight; sets appropriate goals</w:t>
            </w:r>
          </w:p>
        </w:tc>
      </w:tr>
    </w:tbl>
    <w:p w:rsidR="00B75A64" w:rsidRDefault="00B75A64" w:rsidP="00B75A64">
      <w:pPr>
        <w:pStyle w:val="Default"/>
        <w:rPr>
          <w:rFonts w:cs="Times New Roman"/>
          <w:color w:val="auto"/>
        </w:rPr>
      </w:pPr>
    </w:p>
    <w:p w:rsidR="00AD453A" w:rsidRDefault="00AD453A"/>
    <w:sectPr w:rsidR="00AD453A" w:rsidSect="001B671E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70" w:rsidRDefault="00696A70">
      <w:r>
        <w:separator/>
      </w:r>
    </w:p>
  </w:endnote>
  <w:endnote w:type="continuationSeparator" w:id="0">
    <w:p w:rsidR="00696A70" w:rsidRDefault="0069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70" w:rsidRDefault="00696A70">
      <w:r>
        <w:separator/>
      </w:r>
    </w:p>
  </w:footnote>
  <w:footnote w:type="continuationSeparator" w:id="0">
    <w:p w:rsidR="00696A70" w:rsidRDefault="0069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1E" w:rsidRPr="00B75A64" w:rsidRDefault="001B671E">
    <w:pPr>
      <w:pStyle w:val="Header"/>
      <w:rPr>
        <w:b/>
        <w:sz w:val="20"/>
        <w:szCs w:val="20"/>
      </w:rPr>
    </w:pPr>
    <w:r w:rsidRPr="00B75A64">
      <w:rPr>
        <w:b/>
        <w:sz w:val="20"/>
        <w:szCs w:val="20"/>
      </w:rPr>
      <w:t>Grade 7 Rubric – Oral Language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A70"/>
    <w:rsid w:val="001B671E"/>
    <w:rsid w:val="00225A08"/>
    <w:rsid w:val="002B595C"/>
    <w:rsid w:val="005E0285"/>
    <w:rsid w:val="00696A70"/>
    <w:rsid w:val="00783CC5"/>
    <w:rsid w:val="00997B5C"/>
    <w:rsid w:val="00AC3EAE"/>
    <w:rsid w:val="00AD453A"/>
    <w:rsid w:val="00B000E7"/>
    <w:rsid w:val="00B75A64"/>
    <w:rsid w:val="00EF6D6F"/>
    <w:rsid w:val="00F56318"/>
    <w:rsid w:val="00F7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75A64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222">
    <w:name w:val="Pa22+2"/>
    <w:basedOn w:val="Default"/>
    <w:next w:val="Default"/>
    <w:rsid w:val="00B75A64"/>
    <w:pPr>
      <w:spacing w:after="80" w:line="241" w:lineRule="atLeast"/>
    </w:pPr>
    <w:rPr>
      <w:rFonts w:cs="Times New Roman"/>
      <w:color w:val="auto"/>
    </w:rPr>
  </w:style>
  <w:style w:type="paragraph" w:customStyle="1" w:styleId="Pa51">
    <w:name w:val="Pa5+1"/>
    <w:basedOn w:val="Default"/>
    <w:next w:val="Default"/>
    <w:rsid w:val="00B75A64"/>
    <w:pPr>
      <w:spacing w:line="201" w:lineRule="atLeast"/>
    </w:pPr>
    <w:rPr>
      <w:rFonts w:cs="Times New Roman"/>
      <w:color w:val="auto"/>
    </w:rPr>
  </w:style>
  <w:style w:type="character" w:customStyle="1" w:styleId="A82">
    <w:name w:val="A8+2"/>
    <w:rsid w:val="00B75A64"/>
    <w:rPr>
      <w:rFonts w:ascii="Myriad Pro Black" w:hAnsi="Myriad Pro Black" w:cs="Myriad Pro Black"/>
      <w:b/>
      <w:bCs/>
      <w:color w:val="000000"/>
      <w:sz w:val="16"/>
      <w:szCs w:val="16"/>
    </w:rPr>
  </w:style>
  <w:style w:type="paragraph" w:customStyle="1" w:styleId="Pa322">
    <w:name w:val="Pa32+2"/>
    <w:basedOn w:val="Default"/>
    <w:next w:val="Default"/>
    <w:rsid w:val="00B75A64"/>
    <w:pPr>
      <w:spacing w:line="201" w:lineRule="atLeast"/>
    </w:pPr>
    <w:rPr>
      <w:rFonts w:cs="Times New Roman"/>
      <w:color w:val="auto"/>
    </w:rPr>
  </w:style>
  <w:style w:type="paragraph" w:customStyle="1" w:styleId="Pa382">
    <w:name w:val="Pa38+2"/>
    <w:basedOn w:val="Default"/>
    <w:next w:val="Default"/>
    <w:rsid w:val="00B75A64"/>
    <w:pPr>
      <w:spacing w:line="181" w:lineRule="atLeast"/>
    </w:pPr>
    <w:rPr>
      <w:rFonts w:cs="Times New Roman"/>
      <w:color w:val="auto"/>
    </w:rPr>
  </w:style>
  <w:style w:type="paragraph" w:customStyle="1" w:styleId="Pa212">
    <w:name w:val="Pa21+2"/>
    <w:basedOn w:val="Default"/>
    <w:next w:val="Default"/>
    <w:rsid w:val="00B75A64"/>
    <w:pPr>
      <w:spacing w:line="201" w:lineRule="atLeast"/>
    </w:pPr>
    <w:rPr>
      <w:rFonts w:cs="Times New Roman"/>
      <w:color w:val="auto"/>
    </w:rPr>
  </w:style>
  <w:style w:type="paragraph" w:customStyle="1" w:styleId="Pa402">
    <w:name w:val="Pa40+2"/>
    <w:basedOn w:val="Default"/>
    <w:next w:val="Default"/>
    <w:rsid w:val="00B75A64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B75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A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7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7 ORAL LANG.dot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subject/>
  <dc:creator>jc</dc:creator>
  <cp:keywords/>
  <dc:description/>
  <cp:lastModifiedBy>jc</cp:lastModifiedBy>
  <cp:revision>1</cp:revision>
  <cp:lastPrinted>1601-01-01T00:00:00Z</cp:lastPrinted>
  <dcterms:created xsi:type="dcterms:W3CDTF">2011-11-07T03:09:00Z</dcterms:created>
  <dcterms:modified xsi:type="dcterms:W3CDTF">2011-11-07T03:10:00Z</dcterms:modified>
</cp:coreProperties>
</file>