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1E" w:rsidRPr="00921897" w:rsidRDefault="00633E1E" w:rsidP="00633E1E">
      <w:pPr>
        <w:rPr>
          <w:b/>
        </w:rPr>
      </w:pPr>
      <w:r w:rsidRPr="00921897">
        <w:rPr>
          <w:b/>
        </w:rPr>
        <w:t>Sample Rubric: Oral Language (</w:t>
      </w:r>
      <w:r>
        <w:rPr>
          <w:b/>
        </w:rPr>
        <w:t>Gr. 10-12)</w:t>
      </w:r>
    </w:p>
    <w:p w:rsidR="00633E1E" w:rsidRPr="00633E1E" w:rsidRDefault="00633E1E" w:rsidP="00633E1E">
      <w:pPr>
        <w:rPr>
          <w:rFonts w:ascii="Arial" w:hAnsi="Arial" w:cs="Arial"/>
          <w:sz w:val="18"/>
          <w:szCs w:val="18"/>
        </w:rPr>
      </w:pPr>
      <w:r w:rsidRPr="00B027BF">
        <w:rPr>
          <w:rFonts w:ascii="Arial" w:hAnsi="Arial" w:cs="Arial"/>
          <w:sz w:val="18"/>
          <w:szCs w:val="18"/>
        </w:rPr>
        <w:t>Teachers can use</w:t>
      </w:r>
      <w:r>
        <w:rPr>
          <w:rFonts w:ascii="Arial" w:hAnsi="Arial" w:cs="Arial"/>
          <w:sz w:val="18"/>
          <w:szCs w:val="18"/>
        </w:rPr>
        <w:t xml:space="preserve"> and adapt</w:t>
      </w:r>
      <w:r w:rsidRPr="00B027BF">
        <w:rPr>
          <w:rFonts w:ascii="Arial" w:hAnsi="Arial" w:cs="Arial"/>
          <w:sz w:val="18"/>
          <w:szCs w:val="18"/>
        </w:rPr>
        <w:t xml:space="preserve"> this rubric to gather observations about some key aspects of oral language. The criteria– particularly the complexity of the tasks and texts – become</w:t>
      </w:r>
      <w:r>
        <w:rPr>
          <w:rFonts w:ascii="Arial" w:hAnsi="Arial" w:cs="Arial"/>
          <w:sz w:val="18"/>
          <w:szCs w:val="18"/>
        </w:rPr>
        <w:t>s</w:t>
      </w:r>
      <w:r w:rsidRPr="00B027BF">
        <w:rPr>
          <w:rFonts w:ascii="Arial" w:hAnsi="Arial" w:cs="Arial"/>
          <w:sz w:val="18"/>
          <w:szCs w:val="18"/>
        </w:rPr>
        <w:t xml:space="preserve"> more challenging as students progress through the grades.  </w:t>
      </w:r>
    </w:p>
    <w:tbl>
      <w:tblPr>
        <w:tblW w:w="10728" w:type="dxa"/>
        <w:jc w:val="center"/>
        <w:tblCellSpacing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44"/>
        <w:gridCol w:w="2150"/>
        <w:gridCol w:w="2052"/>
        <w:gridCol w:w="2066"/>
        <w:gridCol w:w="2216"/>
      </w:tblGrid>
      <w:tr w:rsidR="00633E1E" w:rsidRPr="00EA7C10" w:rsidTr="00633E1E">
        <w:trPr>
          <w:tblCellSpacing w:w="0" w:type="dxa"/>
          <w:jc w:val="center"/>
        </w:trPr>
        <w:tc>
          <w:tcPr>
            <w:tcW w:w="2244" w:type="dxa"/>
            <w:shd w:val="clear" w:color="auto" w:fill="E6E6E6"/>
          </w:tcPr>
          <w:p w:rsidR="00633E1E" w:rsidRPr="00EA7C10" w:rsidRDefault="00633E1E" w:rsidP="00633E1E">
            <w:pPr>
              <w:pStyle w:val="Heading6"/>
              <w:spacing w:before="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A7C10">
              <w:rPr>
                <w:rFonts w:ascii="Arial" w:hAnsi="Arial" w:cs="Arial"/>
                <w:i/>
                <w:sz w:val="18"/>
                <w:szCs w:val="18"/>
              </w:rPr>
              <w:t>Aspect</w:t>
            </w:r>
          </w:p>
        </w:tc>
        <w:tc>
          <w:tcPr>
            <w:tcW w:w="2150" w:type="dxa"/>
            <w:shd w:val="clear" w:color="auto" w:fill="E6E6E6"/>
          </w:tcPr>
          <w:p w:rsidR="00633E1E" w:rsidRPr="00EA7C10" w:rsidRDefault="00633E1E" w:rsidP="00633E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7C10">
              <w:rPr>
                <w:rFonts w:ascii="Arial" w:hAnsi="Arial" w:cs="Arial"/>
                <w:b/>
                <w:sz w:val="18"/>
                <w:szCs w:val="18"/>
              </w:rPr>
              <w:t>Not Yet Within Expectations</w:t>
            </w:r>
          </w:p>
        </w:tc>
        <w:tc>
          <w:tcPr>
            <w:tcW w:w="2052" w:type="dxa"/>
            <w:shd w:val="clear" w:color="auto" w:fill="E6E6E6"/>
          </w:tcPr>
          <w:p w:rsidR="00633E1E" w:rsidRPr="00EA7C10" w:rsidRDefault="00633E1E" w:rsidP="00633E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7C10">
              <w:rPr>
                <w:rFonts w:ascii="Arial" w:hAnsi="Arial" w:cs="Arial"/>
                <w:b/>
                <w:sz w:val="18"/>
                <w:szCs w:val="18"/>
              </w:rPr>
              <w:t>Meets Expectations</w:t>
            </w:r>
          </w:p>
          <w:p w:rsidR="00633E1E" w:rsidRPr="00EA7C10" w:rsidRDefault="00633E1E" w:rsidP="00633E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7C10">
              <w:rPr>
                <w:rFonts w:ascii="Arial" w:hAnsi="Arial" w:cs="Arial"/>
                <w:b/>
                <w:sz w:val="18"/>
                <w:szCs w:val="18"/>
              </w:rPr>
              <w:t xml:space="preserve">(Minimal-Moderate) </w:t>
            </w:r>
          </w:p>
        </w:tc>
        <w:tc>
          <w:tcPr>
            <w:tcW w:w="2066" w:type="dxa"/>
            <w:shd w:val="clear" w:color="auto" w:fill="E6E6E6"/>
          </w:tcPr>
          <w:p w:rsidR="00633E1E" w:rsidRPr="00EA7C10" w:rsidRDefault="00633E1E" w:rsidP="00633E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7C10">
              <w:rPr>
                <w:rFonts w:ascii="Arial" w:hAnsi="Arial" w:cs="Arial"/>
                <w:b/>
                <w:sz w:val="18"/>
                <w:szCs w:val="18"/>
              </w:rPr>
              <w:t>Fully Meets Expectations</w:t>
            </w:r>
          </w:p>
        </w:tc>
        <w:tc>
          <w:tcPr>
            <w:tcW w:w="2216" w:type="dxa"/>
            <w:shd w:val="clear" w:color="auto" w:fill="E6E6E6"/>
          </w:tcPr>
          <w:p w:rsidR="00633E1E" w:rsidRPr="00EA7C10" w:rsidRDefault="00633E1E" w:rsidP="00633E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7C10">
              <w:rPr>
                <w:rFonts w:ascii="Arial" w:hAnsi="Arial" w:cs="Arial"/>
                <w:b/>
                <w:sz w:val="18"/>
                <w:szCs w:val="18"/>
              </w:rPr>
              <w:t>Exceeds Expectations</w:t>
            </w:r>
          </w:p>
        </w:tc>
      </w:tr>
      <w:tr w:rsidR="00633E1E" w:rsidRPr="00EA7C10" w:rsidTr="00633E1E">
        <w:trPr>
          <w:tblCellSpacing w:w="0" w:type="dxa"/>
          <w:jc w:val="center"/>
        </w:trPr>
        <w:tc>
          <w:tcPr>
            <w:tcW w:w="2244" w:type="dxa"/>
          </w:tcPr>
          <w:p w:rsidR="00633E1E" w:rsidRPr="00EA7C10" w:rsidRDefault="00633E1E" w:rsidP="00633E1E">
            <w:pPr>
              <w:pStyle w:val="Heading6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t>Discussing</w:t>
            </w:r>
          </w:p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t>- Contributes relevant ideas and information</w:t>
            </w:r>
          </w:p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t>- Shows understanding of topic, text, or issue</w:t>
            </w:r>
          </w:p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t>-  uses evidence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reasoning to support responses and critiques </w:t>
            </w:r>
          </w:p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Open to e</w:t>
            </w:r>
            <w:r w:rsidRPr="00EA7C10">
              <w:rPr>
                <w:rFonts w:ascii="Arial" w:hAnsi="Arial" w:cs="Arial"/>
                <w:sz w:val="18"/>
                <w:szCs w:val="18"/>
              </w:rPr>
              <w:t>xplor</w:t>
            </w:r>
            <w:r>
              <w:rPr>
                <w:rFonts w:ascii="Arial" w:hAnsi="Arial" w:cs="Arial"/>
                <w:sz w:val="18"/>
                <w:szCs w:val="18"/>
              </w:rPr>
              <w:t xml:space="preserve">ing ideas; seeks diverse views </w:t>
            </w:r>
          </w:p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t>- Acknowledges; makes connections to others  (may question/disagree)</w:t>
            </w:r>
          </w:p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t xml:space="preserve">- Asks questions to clarify and extend </w:t>
            </w:r>
          </w:p>
          <w:p w:rsidR="00633E1E" w:rsidRPr="00EA7C10" w:rsidRDefault="00633E1E" w:rsidP="00633E1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t>- Summarizes key ideas (e.g., group consensus)</w:t>
            </w:r>
          </w:p>
        </w:tc>
        <w:tc>
          <w:tcPr>
            <w:tcW w:w="2150" w:type="dxa"/>
          </w:tcPr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does not contribute relevant ideas</w:t>
            </w:r>
          </w:p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does not show understanding </w:t>
            </w:r>
          </w:p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does offer relevant evidence and logical reasoning </w:t>
            </w:r>
          </w:p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little openness or exploration; prefers a single perspective</w:t>
            </w:r>
          </w:p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does not connect to or acknowledge others’ ideas</w:t>
            </w:r>
          </w:p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does not ask questions</w:t>
            </w:r>
          </w:p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does not summarize or restate key ideas</w:t>
            </w:r>
          </w:p>
        </w:tc>
        <w:tc>
          <w:tcPr>
            <w:tcW w:w="2052" w:type="dxa"/>
          </w:tcPr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contributes some relevant ideas</w:t>
            </w:r>
          </w:p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shows basic understanding</w:t>
            </w:r>
          </w:p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offers some relevant evidence and logical reasoning (flawed)</w:t>
            </w:r>
          </w:p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open to exploration; beginning to recognize value of diverse views</w:t>
            </w:r>
          </w:p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makes some connections; acknowledgement of others’ ideas</w:t>
            </w:r>
          </w:p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asks some question </w:t>
            </w:r>
          </w:p>
          <w:p w:rsidR="00633E1E" w:rsidRPr="00EA7C10" w:rsidRDefault="00633E1E" w:rsidP="00633E1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summarizes/restates some key ideas</w:t>
            </w:r>
          </w:p>
        </w:tc>
        <w:tc>
          <w:tcPr>
            <w:tcW w:w="2066" w:type="dxa"/>
          </w:tcPr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contributes  relevant ideas</w:t>
            </w:r>
          </w:p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shows clear understanding</w:t>
            </w:r>
          </w:p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offers well-chosen evidence and logical reasoning </w:t>
            </w:r>
          </w:p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open to exploration; seeks out and considers diverse views</w:t>
            </w:r>
          </w:p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connects to and acknowledges others’ ideas appropriately</w:t>
            </w:r>
          </w:p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asks questions to clarify and extend</w:t>
            </w:r>
          </w:p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summarizes key ideas</w:t>
            </w:r>
          </w:p>
        </w:tc>
        <w:tc>
          <w:tcPr>
            <w:tcW w:w="2216" w:type="dxa"/>
          </w:tcPr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 contributes well-chosen ideas that move the discussion forward</w:t>
            </w:r>
          </w:p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shows insight</w:t>
            </w:r>
          </w:p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offers highly convincing evidence and depth of reasoning </w:t>
            </w:r>
          </w:p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high degree of openness/exploration; values diverse views</w:t>
            </w:r>
          </w:p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connects to and acknowledges ideas from </w:t>
            </w:r>
            <w:r w:rsidRPr="00EA7C10">
              <w:rPr>
                <w:rFonts w:ascii="Arial" w:hAnsi="Arial" w:cs="Arial"/>
                <w:i/>
                <w:sz w:val="18"/>
                <w:szCs w:val="18"/>
              </w:rPr>
              <w:t xml:space="preserve">all </w:t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group members </w:t>
            </w:r>
          </w:p>
          <w:p w:rsidR="00633E1E" w:rsidRPr="00EA7C10" w:rsidRDefault="00633E1E" w:rsidP="00633E1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asks questions that advance discussion </w:t>
            </w:r>
          </w:p>
          <w:p w:rsidR="00633E1E" w:rsidRPr="00EA7C10" w:rsidRDefault="00633E1E" w:rsidP="00633E1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synthesizes key points effectively </w:t>
            </w:r>
          </w:p>
        </w:tc>
      </w:tr>
      <w:tr w:rsidR="00633E1E" w:rsidRPr="00EA7C10" w:rsidTr="00633E1E">
        <w:trPr>
          <w:tblCellSpacing w:w="0" w:type="dxa"/>
          <w:jc w:val="center"/>
        </w:trPr>
        <w:tc>
          <w:tcPr>
            <w:tcW w:w="2244" w:type="dxa"/>
          </w:tcPr>
          <w:p w:rsidR="00633E1E" w:rsidRPr="00EA7C10" w:rsidRDefault="00633E1E" w:rsidP="00633E1E">
            <w:pPr>
              <w:pStyle w:val="Heading6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t>Expressing/Presenting ideas/information (informal and formal)</w:t>
            </w:r>
          </w:p>
          <w:p w:rsidR="00633E1E" w:rsidRPr="00EA7C10" w:rsidRDefault="00633E1E" w:rsidP="00633E1E">
            <w:pPr>
              <w:pStyle w:val="Heading6"/>
              <w:spacing w:beforeLines="20" w:afterLines="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EA7C10">
              <w:rPr>
                <w:rFonts w:ascii="Arial" w:hAnsi="Arial" w:cs="Arial"/>
                <w:b w:val="0"/>
                <w:sz w:val="18"/>
                <w:szCs w:val="18"/>
              </w:rPr>
              <w:t>- Focused; purposeful</w:t>
            </w:r>
          </w:p>
          <w:p w:rsidR="00633E1E" w:rsidRPr="00EA7C10" w:rsidRDefault="00633E1E" w:rsidP="00633E1E">
            <w:pPr>
              <w:pStyle w:val="Heading6"/>
              <w:spacing w:beforeLines="20" w:afterLines="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EA7C10">
              <w:rPr>
                <w:rFonts w:ascii="Arial" w:hAnsi="Arial" w:cs="Arial"/>
                <w:b w:val="0"/>
                <w:sz w:val="18"/>
                <w:szCs w:val="18"/>
              </w:rPr>
              <w:t>- Offers sufficient content and evidence to accomplish purpose</w:t>
            </w:r>
          </w:p>
          <w:p w:rsidR="00633E1E" w:rsidRPr="00EA7C10" w:rsidRDefault="00633E1E" w:rsidP="00633E1E">
            <w:pPr>
              <w:pStyle w:val="Heading6"/>
              <w:spacing w:beforeLines="20" w:afterLines="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EA7C10">
              <w:rPr>
                <w:rFonts w:ascii="Arial" w:hAnsi="Arial" w:cs="Arial"/>
                <w:b w:val="0"/>
                <w:sz w:val="18"/>
                <w:szCs w:val="18"/>
              </w:rPr>
              <w:t>- Clear and well-organized; uses cues, transitions to help audience follow</w:t>
            </w:r>
          </w:p>
          <w:p w:rsidR="00633E1E" w:rsidRPr="00EA7C10" w:rsidRDefault="00633E1E" w:rsidP="00633E1E">
            <w:pPr>
              <w:pStyle w:val="Heading6"/>
              <w:spacing w:beforeLines="20" w:afterLines="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EA7C10">
              <w:rPr>
                <w:rFonts w:ascii="Arial" w:hAnsi="Arial" w:cs="Arial"/>
                <w:b w:val="0"/>
                <w:sz w:val="18"/>
                <w:szCs w:val="18"/>
              </w:rPr>
              <w:t xml:space="preserve">- Uses and adjusts voice,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nonverbal techniques</w:t>
            </w:r>
            <w:r w:rsidRPr="00EA7C10">
              <w:rPr>
                <w:rFonts w:ascii="Arial" w:hAnsi="Arial" w:cs="Arial"/>
                <w:b w:val="0"/>
                <w:sz w:val="18"/>
                <w:szCs w:val="18"/>
              </w:rPr>
              <w:t xml:space="preserve"> to get and hold attention</w:t>
            </w:r>
          </w:p>
          <w:p w:rsidR="00633E1E" w:rsidRPr="00EA7C10" w:rsidRDefault="00633E1E" w:rsidP="00633E1E">
            <w:pPr>
              <w:pStyle w:val="Heading6"/>
              <w:spacing w:beforeLines="20" w:afterLines="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EA7C10">
              <w:rPr>
                <w:rFonts w:ascii="Arial" w:hAnsi="Arial" w:cs="Arial"/>
                <w:b w:val="0"/>
                <w:sz w:val="18"/>
                <w:szCs w:val="18"/>
              </w:rPr>
              <w:t>- Sense of audience; appropriate tone/formality</w:t>
            </w:r>
          </w:p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t>- Language is precise and has intended effect; often includes specialized terms</w:t>
            </w:r>
          </w:p>
        </w:tc>
        <w:tc>
          <w:tcPr>
            <w:tcW w:w="2150" w:type="dxa"/>
          </w:tcPr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unfocused; purpose is unclear</w:t>
            </w:r>
          </w:p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insuffic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A7C10">
              <w:rPr>
                <w:rFonts w:ascii="Arial" w:hAnsi="Arial" w:cs="Arial"/>
                <w:sz w:val="18"/>
                <w:szCs w:val="18"/>
              </w:rPr>
              <w:t>ent content; may be inaccurate</w:t>
            </w:r>
          </w:p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limited clarity; weak organization; hard to follow</w:t>
            </w:r>
          </w:p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voice; nonverbal techniques do not get or hold attention</w:t>
            </w:r>
          </w:p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little sense of audience; tone is inappropriate </w:t>
            </w:r>
          </w:p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language is vague and general</w:t>
            </w:r>
          </w:p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</w:tcPr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purpose somewhat clear; may lose focus</w:t>
            </w:r>
          </w:p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minimal content for purpose; generally accurate</w:t>
            </w:r>
          </w:p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some clarity and organization, but few helpful cues/transitions</w:t>
            </w:r>
          </w:p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voice; nonverbal techniques are inconsistent; may not hold attention </w:t>
            </w:r>
          </w:p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some sense of audience; tone is often inconsistent</w:t>
            </w:r>
          </w:p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language is clear with some variety and specificity; may have impact in places</w:t>
            </w:r>
          </w:p>
        </w:tc>
        <w:tc>
          <w:tcPr>
            <w:tcW w:w="2066" w:type="dxa"/>
          </w:tcPr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purpose is clear; focus is sustained</w:t>
            </w:r>
          </w:p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sufficient content for purpose; accurate</w:t>
            </w:r>
          </w:p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generally clear, organized and easy to follow; provides cues and transitions</w:t>
            </w:r>
          </w:p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voice; nonverbal techniques are confident; hold attention</w:t>
            </w:r>
          </w:p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sense of audience; tone is appropriate; occasional lapses</w:t>
            </w:r>
          </w:p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language is varied, specific; creates intended </w:t>
            </w:r>
            <w:r>
              <w:rPr>
                <w:rFonts w:ascii="Arial" w:hAnsi="Arial" w:cs="Arial"/>
                <w:sz w:val="18"/>
                <w:szCs w:val="18"/>
              </w:rPr>
              <w:t>effect</w:t>
            </w:r>
            <w:r w:rsidRPr="00EA7C10">
              <w:rPr>
                <w:rFonts w:ascii="Arial" w:hAnsi="Arial" w:cs="Arial"/>
                <w:sz w:val="18"/>
                <w:szCs w:val="18"/>
              </w:rPr>
              <w:t>; includes specialized terms as appropriate</w:t>
            </w:r>
          </w:p>
        </w:tc>
        <w:tc>
          <w:tcPr>
            <w:tcW w:w="2216" w:type="dxa"/>
          </w:tcPr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purpose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EA7C10">
              <w:rPr>
                <w:rFonts w:ascii="Arial" w:hAnsi="Arial" w:cs="Arial"/>
                <w:sz w:val="18"/>
                <w:szCs w:val="18"/>
              </w:rPr>
              <w:t>focus are effective and sustained</w:t>
            </w:r>
          </w:p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well-developed content; accurate and  specific </w:t>
            </w:r>
          </w:p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high degree of clarity; organization is effective; transparent; adds to impact </w:t>
            </w:r>
          </w:p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voice; nonverbal techniques are engaging</w:t>
            </w:r>
          </w:p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strong sense of audience; tone is consistently effective</w:t>
            </w:r>
          </w:p>
          <w:p w:rsidR="00633E1E" w:rsidRPr="00EA7C10" w:rsidRDefault="00633E1E" w:rsidP="00633E1E">
            <w:pPr>
              <w:spacing w:before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language is well-crafted; has impact; uses specialized terms with precision</w:t>
            </w:r>
          </w:p>
        </w:tc>
      </w:tr>
      <w:tr w:rsidR="00633E1E" w:rsidRPr="00EA7C10" w:rsidTr="00633E1E">
        <w:trPr>
          <w:tblCellSpacing w:w="0" w:type="dxa"/>
          <w:jc w:val="center"/>
        </w:trPr>
        <w:tc>
          <w:tcPr>
            <w:tcW w:w="2244" w:type="dxa"/>
          </w:tcPr>
          <w:p w:rsidR="00633E1E" w:rsidRPr="00EA7C10" w:rsidRDefault="00633E1E" w:rsidP="00633E1E">
            <w:pPr>
              <w:pStyle w:val="Heading6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t>Listening</w:t>
            </w:r>
          </w:p>
          <w:p w:rsidR="00633E1E" w:rsidRPr="00EA7C10" w:rsidRDefault="00633E1E" w:rsidP="00633E1E">
            <w:pPr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t>- listens purposefully; checks understanding (e.g., paraphrases)</w:t>
            </w:r>
          </w:p>
          <w:p w:rsidR="00633E1E" w:rsidRPr="00EA7C10" w:rsidRDefault="00633E1E" w:rsidP="00633E1E">
            <w:pPr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t>- Identifies purpose, point-of-view and key strategies</w:t>
            </w:r>
          </w:p>
          <w:p w:rsidR="00633E1E" w:rsidRPr="00EA7C10" w:rsidRDefault="00633E1E" w:rsidP="00633E1E">
            <w:pPr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t>- summarizes information and ideas (e.g., in notes; graphic organizer)</w:t>
            </w:r>
          </w:p>
          <w:p w:rsidR="00633E1E" w:rsidRPr="00EA7C10" w:rsidRDefault="00633E1E" w:rsidP="00633E1E">
            <w:pPr>
              <w:spacing w:beforeLines="20"/>
              <w:rPr>
                <w:rFonts w:ascii="Arial" w:hAnsi="Arial" w:cs="Arial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t>- listens critically; notes bias; questions ideas</w:t>
            </w:r>
          </w:p>
        </w:tc>
        <w:tc>
          <w:tcPr>
            <w:tcW w:w="2150" w:type="dxa"/>
          </w:tcPr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has difficulty listening purposefully; does not check understanding</w:t>
            </w:r>
          </w:p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does not identify speaker’s purpose, point-of-view; strategies</w:t>
            </w:r>
          </w:p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does not summarize key information</w:t>
            </w:r>
          </w:p>
          <w:p w:rsidR="00633E1E" w:rsidRPr="00EA7C10" w:rsidRDefault="00633E1E" w:rsidP="00633E1E">
            <w:pPr>
              <w:spacing w:before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does not question ideas or identify bias</w:t>
            </w:r>
          </w:p>
        </w:tc>
        <w:tc>
          <w:tcPr>
            <w:tcW w:w="2052" w:type="dxa"/>
          </w:tcPr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listens purposefully in some situations </w:t>
            </w:r>
          </w:p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partially identifies speaker’s purpose, point-of-view and some strategies</w:t>
            </w:r>
          </w:p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summarizes some information</w:t>
            </w:r>
          </w:p>
          <w:p w:rsidR="00633E1E" w:rsidRPr="00EA7C10" w:rsidRDefault="00633E1E" w:rsidP="00633E1E">
            <w:pPr>
              <w:spacing w:before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sometimes questions ideas; identifies bias</w:t>
            </w:r>
          </w:p>
        </w:tc>
        <w:tc>
          <w:tcPr>
            <w:tcW w:w="2066" w:type="dxa"/>
          </w:tcPr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listens purposefully in most situations</w:t>
            </w:r>
          </w:p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identifies speaker’s purpose, point-of-view, strategies </w:t>
            </w:r>
          </w:p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summarizes key information</w:t>
            </w:r>
          </w:p>
          <w:p w:rsidR="00633E1E" w:rsidRPr="00EA7C10" w:rsidRDefault="00633E1E" w:rsidP="00633E1E">
            <w:pPr>
              <w:spacing w:before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questions ideas; identifies some bias</w:t>
            </w:r>
          </w:p>
        </w:tc>
        <w:tc>
          <w:tcPr>
            <w:tcW w:w="2216" w:type="dxa"/>
          </w:tcPr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listens purposefully </w:t>
            </w:r>
          </w:p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identifies speaker’s purpose, point-of-view, and strategies; makes inferences about subtle or complex material</w:t>
            </w:r>
          </w:p>
          <w:p w:rsidR="00633E1E" w:rsidRPr="00EA7C10" w:rsidRDefault="00633E1E" w:rsidP="00633E1E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concisely summarizes key information; precise</w:t>
            </w:r>
          </w:p>
          <w:p w:rsidR="00633E1E" w:rsidRPr="00EA7C10" w:rsidRDefault="00633E1E" w:rsidP="00633E1E">
            <w:pPr>
              <w:spacing w:before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questions ideas; identifies bias; insightful</w:t>
            </w:r>
          </w:p>
        </w:tc>
      </w:tr>
      <w:tr w:rsidR="00633E1E" w:rsidRPr="00EA7C10" w:rsidTr="00633E1E">
        <w:trPr>
          <w:tblCellSpacing w:w="0" w:type="dxa"/>
          <w:jc w:val="center"/>
        </w:trPr>
        <w:tc>
          <w:tcPr>
            <w:tcW w:w="2244" w:type="dxa"/>
          </w:tcPr>
          <w:p w:rsidR="00633E1E" w:rsidRPr="00EA7C10" w:rsidRDefault="00633E1E" w:rsidP="00633E1E">
            <w:pPr>
              <w:pStyle w:val="Heading6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EA7C10">
              <w:rPr>
                <w:rFonts w:ascii="Arial" w:hAnsi="Arial" w:cs="Arial"/>
                <w:sz w:val="16"/>
                <w:szCs w:val="16"/>
              </w:rPr>
              <w:t xml:space="preserve">Reflecting; self-assessing </w:t>
            </w:r>
          </w:p>
          <w:p w:rsidR="00633E1E" w:rsidRPr="00EA7C10" w:rsidRDefault="00633E1E" w:rsidP="00633E1E">
            <w:pPr>
              <w:pStyle w:val="Heading6"/>
              <w:spacing w:beforeLines="20" w:after="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b w:val="0"/>
                <w:sz w:val="18"/>
                <w:szCs w:val="18"/>
              </w:rPr>
              <w:t>Develops/uses criteria; reflects on feedback; sets goals</w:t>
            </w:r>
          </w:p>
        </w:tc>
        <w:tc>
          <w:tcPr>
            <w:tcW w:w="2150" w:type="dxa"/>
          </w:tcPr>
          <w:p w:rsidR="00633E1E" w:rsidRPr="00EA7C10" w:rsidRDefault="00633E1E" w:rsidP="00633E1E">
            <w:pPr>
              <w:spacing w:before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Has difficulty reflecting, self-assessing; goal setting</w:t>
            </w:r>
          </w:p>
        </w:tc>
        <w:tc>
          <w:tcPr>
            <w:tcW w:w="2052" w:type="dxa"/>
          </w:tcPr>
          <w:p w:rsidR="00633E1E" w:rsidRPr="00EA7C10" w:rsidRDefault="00633E1E" w:rsidP="00633E1E">
            <w:pPr>
              <w:spacing w:before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Reflects on, self-assesses and set goals about some aspects of own learning</w:t>
            </w:r>
          </w:p>
        </w:tc>
        <w:tc>
          <w:tcPr>
            <w:tcW w:w="2066" w:type="dxa"/>
          </w:tcPr>
          <w:p w:rsidR="00633E1E" w:rsidRPr="00EA7C10" w:rsidRDefault="00633E1E" w:rsidP="00633E1E">
            <w:pPr>
              <w:spacing w:before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Reflects and self-assesses key aspects of learning and sets simple goals </w:t>
            </w:r>
          </w:p>
        </w:tc>
        <w:tc>
          <w:tcPr>
            <w:tcW w:w="2216" w:type="dxa"/>
          </w:tcPr>
          <w:p w:rsidR="00633E1E" w:rsidRPr="00EA7C10" w:rsidRDefault="00633E1E" w:rsidP="00633E1E">
            <w:pPr>
              <w:spacing w:beforeLines="20"/>
              <w:rPr>
                <w:rFonts w:ascii="Arial" w:hAnsi="Arial" w:cs="Arial"/>
                <w:sz w:val="18"/>
                <w:szCs w:val="18"/>
              </w:rPr>
            </w:pPr>
            <w:r w:rsidRPr="00EA7C10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EA7C10">
              <w:rPr>
                <w:rFonts w:ascii="Arial" w:hAnsi="Arial" w:cs="Arial"/>
                <w:sz w:val="18"/>
                <w:szCs w:val="18"/>
              </w:rPr>
              <w:t xml:space="preserve"> Reflects and self-assesses own learning with insight; sets reasonable goals</w:t>
            </w:r>
          </w:p>
        </w:tc>
      </w:tr>
    </w:tbl>
    <w:p w:rsidR="00AD453A" w:rsidRDefault="00AD453A" w:rsidP="00633E1E"/>
    <w:sectPr w:rsidR="00AD453A" w:rsidSect="00633E1E">
      <w:pgSz w:w="12240" w:h="15840"/>
      <w:pgMar w:top="1152" w:right="1440" w:bottom="1440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C23"/>
    <w:rsid w:val="002B595C"/>
    <w:rsid w:val="005E0285"/>
    <w:rsid w:val="00633E1E"/>
    <w:rsid w:val="00997B5C"/>
    <w:rsid w:val="00AD453A"/>
    <w:rsid w:val="00B000E7"/>
    <w:rsid w:val="00D67C23"/>
    <w:rsid w:val="00E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E1E"/>
    <w:rPr>
      <w:rFonts w:eastAsia="Times New Roman"/>
      <w:sz w:val="24"/>
      <w:szCs w:val="24"/>
      <w:lang w:val="en-CA" w:eastAsia="en-CA"/>
    </w:rPr>
  </w:style>
  <w:style w:type="paragraph" w:styleId="Heading6">
    <w:name w:val="heading 6"/>
    <w:basedOn w:val="Normal"/>
    <w:next w:val="Normal"/>
    <w:qFormat/>
    <w:rsid w:val="00633E1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12530\My%20Documents\FILES%202011%2010%2011\LITERACY\IRPs%20Performance%20Standard%20Rubrics\templates_oral%20lang\GRADE%2010-12%20ORAL%20LA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GRADE 10-12 ORAL LANG.dot</Template>
  <TotalTime>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Rubric: Oral Language (Gr</vt:lpstr>
    </vt:vector>
  </TitlesOfParts>
  <Company>Burnaby School District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Rubric: Oral Language (Gr</dc:title>
  <dc:subject/>
  <dc:creator>jc</dc:creator>
  <cp:keywords/>
  <dc:description/>
  <cp:lastModifiedBy>jc</cp:lastModifiedBy>
  <cp:revision>1</cp:revision>
  <dcterms:created xsi:type="dcterms:W3CDTF">2011-11-07T03:10:00Z</dcterms:created>
  <dcterms:modified xsi:type="dcterms:W3CDTF">2011-11-07T03:10:00Z</dcterms:modified>
</cp:coreProperties>
</file>