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C6" w:rsidRPr="00E7337D" w:rsidRDefault="003C7DC6" w:rsidP="00E7337D">
      <w:pPr>
        <w:pStyle w:val="Pa112"/>
        <w:rPr>
          <w:rFonts w:cs="Palatino"/>
          <w:color w:val="000000"/>
          <w:sz w:val="16"/>
          <w:szCs w:val="16"/>
        </w:rPr>
      </w:pPr>
    </w:p>
    <w:tbl>
      <w:tblPr>
        <w:tblW w:w="94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  <w:gridCol w:w="2002"/>
        <w:gridCol w:w="1673"/>
        <w:gridCol w:w="1711"/>
        <w:gridCol w:w="2054"/>
      </w:tblGrid>
      <w:tr w:rsidR="003C7DC6" w:rsidTr="003025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shd w:val="clear" w:color="auto" w:fill="E0E0E0"/>
          </w:tcPr>
          <w:p w:rsidR="003C7DC6" w:rsidRDefault="003C7DC6" w:rsidP="003C7DC6">
            <w:pPr>
              <w:pStyle w:val="Pa212"/>
              <w:spacing w:before="60"/>
              <w:ind w:left="180" w:hanging="18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2002" w:type="dxa"/>
            <w:shd w:val="clear" w:color="auto" w:fill="E0E0E0"/>
          </w:tcPr>
          <w:p w:rsidR="003C7DC6" w:rsidRDefault="003C7DC6" w:rsidP="003C7DC6">
            <w:pPr>
              <w:pStyle w:val="Pa51"/>
              <w:spacing w:before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0" w:type="auto"/>
            <w:shd w:val="clear" w:color="auto" w:fill="E0E0E0"/>
          </w:tcPr>
          <w:p w:rsidR="003C7DC6" w:rsidRDefault="003C7DC6" w:rsidP="003C7DC6">
            <w:pPr>
              <w:pStyle w:val="Pa212"/>
              <w:spacing w:before="60"/>
              <w:ind w:left="180" w:hanging="18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3C7DC6" w:rsidRDefault="003C7DC6" w:rsidP="003C7DC6">
            <w:pPr>
              <w:pStyle w:val="Pa212"/>
              <w:spacing w:before="60"/>
              <w:ind w:left="180" w:hanging="18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0" w:type="auto"/>
            <w:shd w:val="clear" w:color="auto" w:fill="E0E0E0"/>
          </w:tcPr>
          <w:p w:rsidR="003C7DC6" w:rsidRDefault="003C7DC6" w:rsidP="003C7DC6">
            <w:pPr>
              <w:pStyle w:val="Pa51"/>
              <w:spacing w:before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2054" w:type="dxa"/>
            <w:shd w:val="clear" w:color="auto" w:fill="E0E0E0"/>
          </w:tcPr>
          <w:p w:rsidR="003C7DC6" w:rsidRDefault="003C7DC6" w:rsidP="003C7DC6">
            <w:pPr>
              <w:pStyle w:val="Pa212"/>
              <w:spacing w:before="60"/>
              <w:ind w:left="180" w:hanging="18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3C7DC6" w:rsidTr="003025BB">
        <w:tblPrEx>
          <w:tblCellMar>
            <w:top w:w="0" w:type="dxa"/>
            <w:bottom w:w="0" w:type="dxa"/>
          </w:tblCellMar>
        </w:tblPrEx>
        <w:trPr>
          <w:trHeight w:val="4030"/>
        </w:trPr>
        <w:tc>
          <w:tcPr>
            <w:tcW w:w="2040" w:type="dxa"/>
          </w:tcPr>
          <w:p w:rsidR="003C7DC6" w:rsidRPr="003C7DC6" w:rsidRDefault="003C7DC6" w:rsidP="003C7DC6">
            <w:pPr>
              <w:pStyle w:val="Pa312"/>
              <w:spacing w:before="60"/>
              <w:ind w:left="180" w:hanging="180"/>
              <w:rPr>
                <w:rFonts w:ascii="Myriad Pro Black" w:hAnsi="Myriad Pro Black" w:cs="Myriad Pro Black"/>
                <w:color w:val="000000"/>
                <w:sz w:val="18"/>
                <w:szCs w:val="18"/>
              </w:rPr>
            </w:pPr>
            <w:r w:rsidRPr="003C7DC6">
              <w:rPr>
                <w:rStyle w:val="A111"/>
                <w:b/>
                <w:bCs/>
                <w:sz w:val="18"/>
                <w:szCs w:val="18"/>
              </w:rPr>
              <w:t>Strategies</w:t>
            </w:r>
          </w:p>
          <w:p w:rsidR="003C7DC6" w:rsidRDefault="003C7DC6" w:rsidP="003C7DC6">
            <w:pPr>
              <w:pStyle w:val="Pa322"/>
              <w:spacing w:before="60" w:after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uses polite language to co-operate with others</w:t>
            </w:r>
          </w:p>
          <w:p w:rsidR="003C7DC6" w:rsidRDefault="003C7DC6" w:rsidP="003C7DC6">
            <w:pPr>
              <w:pStyle w:val="Pa322"/>
              <w:spacing w:before="60" w:after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maintains a listening posture and shows respect for the contribution of others</w:t>
            </w:r>
          </w:p>
          <w:p w:rsidR="003C7DC6" w:rsidRDefault="003C7DC6" w:rsidP="003C7DC6">
            <w:pPr>
              <w:pStyle w:val="Pa322"/>
              <w:spacing w:before="60" w:after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takes turns; does not interrupt the speaker</w:t>
            </w:r>
          </w:p>
          <w:p w:rsidR="003C7DC6" w:rsidRDefault="003C7DC6" w:rsidP="003C7DC6">
            <w:pPr>
              <w:pStyle w:val="Pa322"/>
              <w:spacing w:before="60" w:after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listens to make connections</w:t>
            </w:r>
          </w:p>
          <w:p w:rsidR="003C7DC6" w:rsidRDefault="003C7DC6" w:rsidP="003025BB">
            <w:pPr>
              <w:pStyle w:val="Pa322"/>
              <w:spacing w:before="60" w:after="6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questions to clarify understanding</w:t>
            </w:r>
          </w:p>
        </w:tc>
        <w:tc>
          <w:tcPr>
            <w:tcW w:w="2002" w:type="dxa"/>
          </w:tcPr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some polite language, with teacher support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maintains a “listening” posture for a limited duration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takes turns, with teacher support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some clues to help make connections, with teacher support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check understanding, with teacher support</w:t>
            </w:r>
          </w:p>
        </w:tc>
        <w:tc>
          <w:tcPr>
            <w:tcW w:w="0" w:type="auto"/>
          </w:tcPr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occasionally uses polite language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maintains a “listening” posture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frequently takes turns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clues to help make connections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check understanding</w:t>
            </w:r>
          </w:p>
        </w:tc>
        <w:tc>
          <w:tcPr>
            <w:tcW w:w="0" w:type="auto"/>
          </w:tcPr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polite language to co-operate with others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maintains a “listening” posture and shows respect for the contribution of others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takes turns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clues to help make connections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clarify understanding</w:t>
            </w:r>
          </w:p>
        </w:tc>
        <w:tc>
          <w:tcPr>
            <w:tcW w:w="2054" w:type="dxa"/>
          </w:tcPr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polite language consistently to facilitate interactions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maintains a “listening” posture and responds appropriately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takes turns and encourages the participation of others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significant clues to help make connections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clarify or extend understanding</w:t>
            </w:r>
          </w:p>
        </w:tc>
      </w:tr>
      <w:tr w:rsidR="003C7DC6" w:rsidTr="003025BB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2040" w:type="dxa"/>
          </w:tcPr>
          <w:p w:rsidR="003C7DC6" w:rsidRPr="003C7DC6" w:rsidRDefault="003C7DC6" w:rsidP="003C7DC6">
            <w:pPr>
              <w:pStyle w:val="Pa51"/>
              <w:spacing w:before="60"/>
              <w:rPr>
                <w:rFonts w:cs="Palatino"/>
                <w:color w:val="000000"/>
                <w:sz w:val="18"/>
                <w:szCs w:val="18"/>
              </w:rPr>
            </w:pPr>
            <w:r w:rsidRPr="003C7DC6">
              <w:rPr>
                <w:rStyle w:val="A111"/>
                <w:b/>
                <w:bCs/>
                <w:sz w:val="18"/>
                <w:szCs w:val="18"/>
              </w:rPr>
              <w:t>Exchanging Ideas/in</w:t>
            </w:r>
            <w:r w:rsidRPr="003C7DC6">
              <w:rPr>
                <w:rStyle w:val="A111"/>
                <w:rFonts w:ascii="Palatino" w:hAnsi="Palatino" w:cs="Palatino"/>
                <w:sz w:val="18"/>
                <w:szCs w:val="18"/>
              </w:rPr>
              <w:t>f</w:t>
            </w:r>
            <w:r w:rsidRPr="003C7DC6">
              <w:rPr>
                <w:rStyle w:val="A111"/>
                <w:b/>
                <w:bCs/>
                <w:sz w:val="18"/>
                <w:szCs w:val="18"/>
              </w:rPr>
              <w:t>or</w:t>
            </w:r>
            <w:r w:rsidRPr="003C7DC6">
              <w:rPr>
                <w:rStyle w:val="A111"/>
                <w:rFonts w:ascii="Palatino" w:hAnsi="Palatino" w:cs="Palatino"/>
                <w:sz w:val="18"/>
                <w:szCs w:val="18"/>
              </w:rPr>
              <w:t>m</w:t>
            </w:r>
            <w:r w:rsidRPr="003C7DC6">
              <w:rPr>
                <w:rStyle w:val="A111"/>
                <w:b/>
                <w:bCs/>
                <w:sz w:val="18"/>
                <w:szCs w:val="18"/>
              </w:rPr>
              <w:t>ation</w:t>
            </w:r>
          </w:p>
          <w:p w:rsidR="003C7DC6" w:rsidRDefault="003C7DC6" w:rsidP="003C7DC6">
            <w:pPr>
              <w:pStyle w:val="Pa322"/>
              <w:spacing w:before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shows awareness of the impact and humorous possibilities in language</w:t>
            </w:r>
          </w:p>
          <w:p w:rsidR="003C7DC6" w:rsidRDefault="003C7DC6" w:rsidP="003C7DC6">
            <w:pPr>
              <w:pStyle w:val="Pa322"/>
              <w:spacing w:before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speaks with expression</w:t>
            </w:r>
          </w:p>
          <w:p w:rsidR="003C7DC6" w:rsidRDefault="003C7DC6" w:rsidP="003025BB">
            <w:pPr>
              <w:pStyle w:val="Pa322"/>
              <w:spacing w:before="60" w:after="6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participates in recreating a section of the story with some detail</w:t>
            </w:r>
          </w:p>
        </w:tc>
        <w:tc>
          <w:tcPr>
            <w:tcW w:w="2002" w:type="dxa"/>
          </w:tcPr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to humorous language, with teacher support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clearly, with teacher support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participates in recreating part of the story, with teacher support</w:t>
            </w:r>
          </w:p>
        </w:tc>
        <w:tc>
          <w:tcPr>
            <w:tcW w:w="0" w:type="auto"/>
          </w:tcPr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to some humorous language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speaks with appropriate expression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participates in recreating part of the story; tends to follow others’ lead</w:t>
            </w:r>
          </w:p>
        </w:tc>
        <w:tc>
          <w:tcPr>
            <w:tcW w:w="0" w:type="auto"/>
          </w:tcPr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to the impact and humorous possibilities in language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speaks with expression 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participates in recreating part of the story; contributes some detail</w:t>
            </w:r>
          </w:p>
        </w:tc>
        <w:tc>
          <w:tcPr>
            <w:tcW w:w="2054" w:type="dxa"/>
          </w:tcPr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creatively to the impact and humorous possibilities in language</w:t>
            </w:r>
          </w:p>
          <w:p w:rsidR="003C7DC6" w:rsidRDefault="003C7DC6" w:rsidP="003C7DC6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consistently speaks with expression and fluency</w:t>
            </w:r>
          </w:p>
          <w:p w:rsidR="003C7DC6" w:rsidRDefault="003C7DC6" w:rsidP="00E7337D">
            <w:pPr>
              <w:pStyle w:val="Pa382"/>
              <w:spacing w:before="60" w:after="6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participates in recreating part of the story; contributes details (may offer support to others)</w:t>
            </w:r>
          </w:p>
        </w:tc>
      </w:tr>
      <w:tr w:rsidR="003C7DC6" w:rsidTr="003025BB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040" w:type="dxa"/>
          </w:tcPr>
          <w:p w:rsidR="003C7DC6" w:rsidRPr="003C7DC6" w:rsidRDefault="003C7DC6" w:rsidP="00E7337D">
            <w:pPr>
              <w:pStyle w:val="Pa51"/>
              <w:spacing w:before="60"/>
              <w:rPr>
                <w:rFonts w:ascii="Myriad Pro Black" w:hAnsi="Myriad Pro Black" w:cs="Myriad Pro Black"/>
                <w:color w:val="000000"/>
                <w:sz w:val="18"/>
                <w:szCs w:val="18"/>
              </w:rPr>
            </w:pPr>
            <w:r w:rsidRPr="003C7DC6">
              <w:rPr>
                <w:rStyle w:val="A111"/>
                <w:b/>
                <w:bCs/>
                <w:sz w:val="18"/>
                <w:szCs w:val="18"/>
              </w:rPr>
              <w:t>Listening</w:t>
            </w:r>
          </w:p>
          <w:p w:rsidR="003C7DC6" w:rsidRDefault="003C7DC6" w:rsidP="00E7337D">
            <w:pPr>
              <w:pStyle w:val="Pa322"/>
              <w:spacing w:before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makes reasonable predictions</w:t>
            </w:r>
          </w:p>
          <w:p w:rsidR="003C7DC6" w:rsidRDefault="003C7DC6" w:rsidP="00E7337D">
            <w:pPr>
              <w:pStyle w:val="Pa322"/>
              <w:spacing w:before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expresses simple opinions</w:t>
            </w:r>
          </w:p>
        </w:tc>
        <w:tc>
          <w:tcPr>
            <w:tcW w:w="2002" w:type="dxa"/>
          </w:tcPr>
          <w:p w:rsidR="003C7DC6" w:rsidRDefault="003C7DC6" w:rsidP="00E7337D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some predictions</w:t>
            </w:r>
          </w:p>
          <w:p w:rsidR="003C7DC6" w:rsidRDefault="003C7DC6" w:rsidP="00E7337D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simple opinions</w:t>
            </w:r>
          </w:p>
        </w:tc>
        <w:tc>
          <w:tcPr>
            <w:tcW w:w="0" w:type="auto"/>
          </w:tcPr>
          <w:p w:rsidR="003C7DC6" w:rsidRDefault="003C7DC6" w:rsidP="00E7337D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predictions; may be unrealistic or extremely obvious</w:t>
            </w:r>
          </w:p>
          <w:p w:rsidR="003C7DC6" w:rsidRDefault="003C7DC6" w:rsidP="003025BB">
            <w:pPr>
              <w:pStyle w:val="Pa382"/>
              <w:spacing w:before="60" w:after="6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simple opinions</w:t>
            </w:r>
          </w:p>
        </w:tc>
        <w:tc>
          <w:tcPr>
            <w:tcW w:w="0" w:type="auto"/>
          </w:tcPr>
          <w:p w:rsidR="003C7DC6" w:rsidRDefault="003C7DC6" w:rsidP="00E7337D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reasonable predictions</w:t>
            </w:r>
          </w:p>
          <w:p w:rsidR="003C7DC6" w:rsidRDefault="003C7DC6" w:rsidP="00E7337D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simple opinions</w:t>
            </w:r>
          </w:p>
        </w:tc>
        <w:tc>
          <w:tcPr>
            <w:tcW w:w="2054" w:type="dxa"/>
          </w:tcPr>
          <w:p w:rsidR="003C7DC6" w:rsidRDefault="003C7DC6" w:rsidP="00E7337D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reasonable predictions that go beyond the obvious</w:t>
            </w:r>
          </w:p>
          <w:p w:rsidR="003C7DC6" w:rsidRDefault="003C7DC6" w:rsidP="00E7337D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simple opinions; may give reasons</w:t>
            </w:r>
          </w:p>
        </w:tc>
      </w:tr>
      <w:tr w:rsidR="003C7DC6" w:rsidTr="003025BB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2040" w:type="dxa"/>
          </w:tcPr>
          <w:p w:rsidR="003C7DC6" w:rsidRPr="003C7DC6" w:rsidRDefault="003C7DC6" w:rsidP="00E7337D">
            <w:pPr>
              <w:pStyle w:val="Pa51"/>
              <w:spacing w:before="60"/>
              <w:rPr>
                <w:rFonts w:cs="Palatino"/>
                <w:b/>
                <w:color w:val="000000"/>
                <w:sz w:val="18"/>
                <w:szCs w:val="18"/>
              </w:rPr>
            </w:pPr>
            <w:r w:rsidRPr="003C7DC6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R</w:t>
            </w:r>
            <w:r w:rsidRPr="003C7DC6">
              <w:rPr>
                <w:rStyle w:val="A111"/>
                <w:b/>
                <w:bCs/>
                <w:sz w:val="18"/>
                <w:szCs w:val="18"/>
              </w:rPr>
              <w:t>e</w:t>
            </w:r>
            <w:r w:rsidRPr="003C7DC6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f</w:t>
            </w:r>
            <w:r w:rsidRPr="003C7DC6">
              <w:rPr>
                <w:rStyle w:val="A111"/>
                <w:b/>
                <w:bCs/>
                <w:sz w:val="18"/>
                <w:szCs w:val="18"/>
              </w:rPr>
              <w:t>le</w:t>
            </w:r>
            <w:r w:rsidRPr="003C7DC6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c</w:t>
            </w:r>
            <w:r w:rsidRPr="003C7DC6">
              <w:rPr>
                <w:rStyle w:val="A111"/>
                <w:b/>
                <w:bCs/>
                <w:sz w:val="18"/>
                <w:szCs w:val="18"/>
              </w:rPr>
              <w:t>tion</w:t>
            </w:r>
          </w:p>
          <w:p w:rsidR="003C7DC6" w:rsidRDefault="003C7DC6" w:rsidP="00E7337D">
            <w:pPr>
              <w:pStyle w:val="Pa322"/>
              <w:spacing w:before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talks about parts of an activity that worked well</w:t>
            </w:r>
          </w:p>
        </w:tc>
        <w:tc>
          <w:tcPr>
            <w:tcW w:w="2002" w:type="dxa"/>
          </w:tcPr>
          <w:p w:rsidR="003C7DC6" w:rsidRDefault="003C7DC6" w:rsidP="00E7337D">
            <w:pPr>
              <w:pStyle w:val="Pa382"/>
              <w:spacing w:before="60"/>
              <w:ind w:left="120" w:hanging="120"/>
              <w:rPr>
                <w:rFonts w:ascii="Myriad Pro Cond" w:hAnsi="Myriad Pro Cond" w:cs="Myriad Pro Cond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to simple questions about group activities, with teacher suppor</w:t>
            </w:r>
            <w:r>
              <w:rPr>
                <w:rFonts w:ascii="Myriad Pro Cond" w:hAnsi="Myriad Pro Cond" w:cs="Myriad Pro Cond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:rsidR="003C7DC6" w:rsidRDefault="003C7DC6" w:rsidP="00E7337D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to simple questions about group activities</w:t>
            </w:r>
          </w:p>
        </w:tc>
        <w:tc>
          <w:tcPr>
            <w:tcW w:w="0" w:type="auto"/>
          </w:tcPr>
          <w:p w:rsidR="003C7DC6" w:rsidRDefault="003C7DC6" w:rsidP="00E7337D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to questions about group activities; describes what went well</w:t>
            </w:r>
          </w:p>
        </w:tc>
        <w:tc>
          <w:tcPr>
            <w:tcW w:w="2054" w:type="dxa"/>
          </w:tcPr>
          <w:p w:rsidR="003C7DC6" w:rsidRDefault="003C7DC6" w:rsidP="00E7337D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to questions about group activities; describes what went well and what needed improvement</w:t>
            </w:r>
          </w:p>
        </w:tc>
      </w:tr>
    </w:tbl>
    <w:p w:rsidR="00AD453A" w:rsidRDefault="00AD453A"/>
    <w:sectPr w:rsidR="00AD453A" w:rsidSect="003C7DC6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FB" w:rsidRDefault="00893EFB">
      <w:r>
        <w:separator/>
      </w:r>
    </w:p>
  </w:endnote>
  <w:endnote w:type="continuationSeparator" w:id="0">
    <w:p w:rsidR="00893EFB" w:rsidRDefault="0089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FB" w:rsidRDefault="00893EFB">
      <w:r>
        <w:separator/>
      </w:r>
    </w:p>
  </w:footnote>
  <w:footnote w:type="continuationSeparator" w:id="0">
    <w:p w:rsidR="00893EFB" w:rsidRDefault="00893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7D" w:rsidRPr="00E7337D" w:rsidRDefault="00E7337D">
    <w:pPr>
      <w:pStyle w:val="Header"/>
      <w:rPr>
        <w:b/>
        <w:sz w:val="20"/>
        <w:szCs w:val="20"/>
      </w:rPr>
    </w:pPr>
    <w:r w:rsidRPr="00E7337D">
      <w:rPr>
        <w:b/>
        <w:sz w:val="20"/>
        <w:szCs w:val="20"/>
      </w:rPr>
      <w:t>Grade 2 Rubric – Oral Language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EFB"/>
    <w:rsid w:val="002B595C"/>
    <w:rsid w:val="003025BB"/>
    <w:rsid w:val="00393A55"/>
    <w:rsid w:val="003C7DC6"/>
    <w:rsid w:val="005E0285"/>
    <w:rsid w:val="00893EFB"/>
    <w:rsid w:val="00997B5C"/>
    <w:rsid w:val="00AD453A"/>
    <w:rsid w:val="00B000E7"/>
    <w:rsid w:val="00D57580"/>
    <w:rsid w:val="00E7337D"/>
    <w:rsid w:val="00E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3C7DC6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  <w:lang w:val="en-CA"/>
    </w:rPr>
  </w:style>
  <w:style w:type="paragraph" w:customStyle="1" w:styleId="Pa112">
    <w:name w:val="Pa11+2"/>
    <w:basedOn w:val="Default"/>
    <w:next w:val="Default"/>
    <w:rsid w:val="003C7DC6"/>
    <w:pPr>
      <w:spacing w:after="240" w:line="301" w:lineRule="atLeast"/>
    </w:pPr>
    <w:rPr>
      <w:rFonts w:cs="Times New Roman"/>
      <w:color w:val="auto"/>
    </w:rPr>
  </w:style>
  <w:style w:type="character" w:customStyle="1" w:styleId="A42">
    <w:name w:val="A4+2"/>
    <w:rsid w:val="003C7DC6"/>
    <w:rPr>
      <w:rFonts w:cs="Palatino"/>
      <w:color w:val="000000"/>
    </w:rPr>
  </w:style>
  <w:style w:type="paragraph" w:customStyle="1" w:styleId="Pa51">
    <w:name w:val="Pa5+1"/>
    <w:basedOn w:val="Default"/>
    <w:next w:val="Default"/>
    <w:rsid w:val="003C7DC6"/>
    <w:pPr>
      <w:spacing w:line="201" w:lineRule="atLeast"/>
    </w:pPr>
    <w:rPr>
      <w:rFonts w:cs="Times New Roman"/>
      <w:color w:val="auto"/>
    </w:rPr>
  </w:style>
  <w:style w:type="paragraph" w:customStyle="1" w:styleId="Pa212">
    <w:name w:val="Pa21+2"/>
    <w:basedOn w:val="Default"/>
    <w:next w:val="Default"/>
    <w:rsid w:val="003C7DC6"/>
    <w:pPr>
      <w:spacing w:line="201" w:lineRule="atLeast"/>
    </w:pPr>
    <w:rPr>
      <w:rFonts w:cs="Times New Roman"/>
      <w:color w:val="auto"/>
    </w:rPr>
  </w:style>
  <w:style w:type="paragraph" w:customStyle="1" w:styleId="Pa312">
    <w:name w:val="Pa31+2"/>
    <w:basedOn w:val="Default"/>
    <w:next w:val="Default"/>
    <w:rsid w:val="003C7DC6"/>
    <w:pPr>
      <w:spacing w:after="20" w:line="201" w:lineRule="atLeast"/>
    </w:pPr>
    <w:rPr>
      <w:rFonts w:cs="Times New Roman"/>
      <w:color w:val="auto"/>
    </w:rPr>
  </w:style>
  <w:style w:type="character" w:customStyle="1" w:styleId="A111">
    <w:name w:val="A11+1"/>
    <w:rsid w:val="003C7DC6"/>
    <w:rPr>
      <w:rFonts w:ascii="Myriad Pro Black" w:hAnsi="Myriad Pro Black" w:cs="Myriad Pro Black"/>
      <w:color w:val="000000"/>
      <w:sz w:val="15"/>
      <w:szCs w:val="15"/>
    </w:rPr>
  </w:style>
  <w:style w:type="paragraph" w:customStyle="1" w:styleId="Pa322">
    <w:name w:val="Pa32+2"/>
    <w:basedOn w:val="Default"/>
    <w:next w:val="Default"/>
    <w:rsid w:val="003C7DC6"/>
    <w:pPr>
      <w:spacing w:line="201" w:lineRule="atLeast"/>
    </w:pPr>
    <w:rPr>
      <w:rFonts w:cs="Times New Roman"/>
      <w:color w:val="auto"/>
    </w:rPr>
  </w:style>
  <w:style w:type="paragraph" w:customStyle="1" w:styleId="Pa382">
    <w:name w:val="Pa38+2"/>
    <w:basedOn w:val="Default"/>
    <w:next w:val="Default"/>
    <w:rsid w:val="003C7DC6"/>
    <w:pPr>
      <w:spacing w:line="181" w:lineRule="atLeast"/>
    </w:pPr>
    <w:rPr>
      <w:rFonts w:cs="Times New Roman"/>
      <w:color w:val="auto"/>
    </w:rPr>
  </w:style>
  <w:style w:type="paragraph" w:styleId="Header">
    <w:name w:val="header"/>
    <w:basedOn w:val="Normal"/>
    <w:rsid w:val="00E73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337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10%2011\LITERACY\IRPs%20Performance%20Standard%20Rubrics\templates_oral%20lang\GRADE%202%20ORAL%20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2 ORAL LANG.dot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2 – RUBRIC – ORAL  LANGUAGE</vt:lpstr>
    </vt:vector>
  </TitlesOfParts>
  <Company>Burnaby School District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– RUBRIC – ORAL  LANGUAGE</dc:title>
  <dc:subject/>
  <dc:creator>jc</dc:creator>
  <cp:keywords/>
  <dc:description/>
  <cp:lastModifiedBy>jc</cp:lastModifiedBy>
  <cp:revision>1</cp:revision>
  <cp:lastPrinted>1601-01-01T00:00:00Z</cp:lastPrinted>
  <dcterms:created xsi:type="dcterms:W3CDTF">2011-11-07T03:06:00Z</dcterms:created>
  <dcterms:modified xsi:type="dcterms:W3CDTF">2011-11-07T03:06:00Z</dcterms:modified>
</cp:coreProperties>
</file>