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01" w:rsidRDefault="00480B39" w:rsidP="00F94001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bookmarkStart w:id="0" w:name="_Hlk95463329"/>
      <w:r>
        <w:rPr>
          <w:rFonts w:ascii="Arial" w:hAnsi="Arial" w:cs="Arial"/>
          <w:b/>
          <w:sz w:val="24"/>
          <w:szCs w:val="24"/>
        </w:rPr>
        <w:t>DRAMA 9-12</w:t>
      </w:r>
    </w:p>
    <w:p w:rsidR="00F94001" w:rsidRPr="004A57E0" w:rsidRDefault="00480B39" w:rsidP="004A57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Mrs. C. McAllister</w:t>
      </w:r>
    </w:p>
    <w:p w:rsidR="00483FCB" w:rsidRDefault="004A57E0" w:rsidP="00483F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Taking Risks- Assessment of Improvisation Skills</w:t>
      </w:r>
    </w:p>
    <w:p w:rsidR="00EB5E8F" w:rsidRDefault="00483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this assessment, student</w:t>
      </w:r>
      <w:r w:rsidR="004A57E0">
        <w:rPr>
          <w:rFonts w:ascii="Arial" w:hAnsi="Arial" w:cs="Arial"/>
          <w:b/>
          <w:sz w:val="24"/>
          <w:szCs w:val="24"/>
        </w:rPr>
        <w:t xml:space="preserve">s </w:t>
      </w:r>
      <w:r>
        <w:rPr>
          <w:rFonts w:ascii="Arial" w:hAnsi="Arial" w:cs="Arial"/>
          <w:b/>
          <w:sz w:val="24"/>
          <w:szCs w:val="24"/>
        </w:rPr>
        <w:t>will be able to</w:t>
      </w:r>
      <w:r w:rsidR="004A57E0">
        <w:rPr>
          <w:rFonts w:ascii="Arial" w:hAnsi="Arial" w:cs="Arial"/>
          <w:b/>
          <w:sz w:val="24"/>
          <w:szCs w:val="24"/>
        </w:rPr>
        <w:t xml:space="preserve"> illustrate their skills in this unit while performing various improvisation scenes and activities.  </w:t>
      </w:r>
      <w:r w:rsidR="00501F22">
        <w:rPr>
          <w:rFonts w:ascii="Arial" w:hAnsi="Arial" w:cs="Arial"/>
          <w:b/>
          <w:sz w:val="24"/>
          <w:szCs w:val="24"/>
        </w:rPr>
        <w:t xml:space="preserve">Formative and summative </w:t>
      </w:r>
      <w:r w:rsidR="004A57E0">
        <w:rPr>
          <w:rFonts w:ascii="Arial" w:hAnsi="Arial" w:cs="Arial"/>
          <w:b/>
          <w:sz w:val="24"/>
          <w:szCs w:val="24"/>
        </w:rPr>
        <w:t xml:space="preserve">performances will often happen in pairs or </w:t>
      </w:r>
      <w:proofErr w:type="gramStart"/>
      <w:r w:rsidR="004A57E0">
        <w:rPr>
          <w:rFonts w:ascii="Arial" w:hAnsi="Arial" w:cs="Arial"/>
          <w:b/>
          <w:sz w:val="24"/>
          <w:szCs w:val="24"/>
        </w:rPr>
        <w:t>groups,</w:t>
      </w:r>
      <w:proofErr w:type="gramEnd"/>
      <w:r w:rsidR="004A57E0">
        <w:rPr>
          <w:rFonts w:ascii="Arial" w:hAnsi="Arial" w:cs="Arial"/>
          <w:b/>
          <w:sz w:val="24"/>
          <w:szCs w:val="24"/>
        </w:rPr>
        <w:t xml:space="preserve"> </w:t>
      </w:r>
      <w:r w:rsidR="00501F22">
        <w:rPr>
          <w:rFonts w:ascii="Arial" w:hAnsi="Arial" w:cs="Arial"/>
          <w:b/>
          <w:sz w:val="24"/>
          <w:szCs w:val="24"/>
        </w:rPr>
        <w:t xml:space="preserve">however, </w:t>
      </w:r>
      <w:r w:rsidR="004A57E0">
        <w:rPr>
          <w:rFonts w:ascii="Arial" w:hAnsi="Arial" w:cs="Arial"/>
          <w:b/>
          <w:sz w:val="24"/>
          <w:szCs w:val="24"/>
        </w:rPr>
        <w:t>each student will be assessed individually as they work within their group to achieve improv performance success.</w:t>
      </w:r>
      <w:r w:rsidR="00501F22">
        <w:rPr>
          <w:rFonts w:ascii="Arial" w:hAnsi="Arial" w:cs="Arial"/>
          <w:b/>
          <w:sz w:val="24"/>
          <w:szCs w:val="24"/>
        </w:rPr>
        <w:t xml:space="preserve"> Final summative assessment will take place in a class-wide CIG Competition.</w:t>
      </w:r>
    </w:p>
    <w:p w:rsidR="00483FCB" w:rsidRPr="004A57E0" w:rsidRDefault="00483F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Competenc</w:t>
      </w:r>
      <w:r w:rsidR="004A57E0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being assessed in these pieces:</w:t>
      </w:r>
    </w:p>
    <w:p w:rsidR="00F27A2A" w:rsidRPr="00F11F04" w:rsidRDefault="00F11F04">
      <w:pPr>
        <w:rPr>
          <w:rFonts w:ascii="Arial" w:hAnsi="Arial" w:cs="Arial"/>
          <w:b/>
          <w:sz w:val="24"/>
          <w:szCs w:val="24"/>
          <w:u w:val="single"/>
        </w:rPr>
      </w:pPr>
      <w:r w:rsidRPr="00F11F04">
        <w:rPr>
          <w:rFonts w:ascii="Arial" w:hAnsi="Arial" w:cs="Arial"/>
          <w:b/>
          <w:sz w:val="24"/>
          <w:szCs w:val="24"/>
          <w:u w:val="single"/>
        </w:rPr>
        <w:t>Exploring &amp; Creating:</w:t>
      </w:r>
    </w:p>
    <w:p w:rsidR="004A57E0" w:rsidRDefault="00F11F04" w:rsidP="004A57E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11F04">
        <w:rPr>
          <w:rFonts w:ascii="Arial" w:hAnsi="Arial" w:cs="Arial"/>
          <w:sz w:val="24"/>
          <w:szCs w:val="24"/>
          <w:u w:val="single"/>
        </w:rPr>
        <w:t>Drama 9</w:t>
      </w:r>
      <w:r w:rsidR="004A57E0">
        <w:rPr>
          <w:rFonts w:ascii="Arial" w:hAnsi="Arial" w:cs="Arial"/>
          <w:sz w:val="24"/>
          <w:szCs w:val="24"/>
          <w:u w:val="single"/>
        </w:rPr>
        <w:t>-12:</w:t>
      </w:r>
      <w:r w:rsidR="004A57E0" w:rsidRPr="004A57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4A57E0" w:rsidRPr="004A57E0" w:rsidRDefault="004A57E0" w:rsidP="004A57E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4A57E0">
        <w:rPr>
          <w:rFonts w:ascii="Arial" w:hAnsi="Arial" w:cs="Arial"/>
          <w:color w:val="000000"/>
          <w:sz w:val="24"/>
          <w:szCs w:val="24"/>
          <w:shd w:val="clear" w:color="auto" w:fill="FFFFFF"/>
        </w:rPr>
        <w:t>Imp</w:t>
      </w:r>
      <w:bookmarkStart w:id="1" w:name="_GoBack"/>
      <w:bookmarkEnd w:id="1"/>
      <w:r w:rsidRPr="004A57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rovise and </w:t>
      </w:r>
      <w:hyperlink r:id="rId4" w:history="1">
        <w:r w:rsidRPr="004A57E0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take creative risks</w:t>
        </w:r>
      </w:hyperlink>
      <w:r w:rsidRPr="004A57E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using imagination, exploration,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emotion </w:t>
      </w:r>
      <w:r w:rsidRPr="004A57E0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inquiry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tbl>
      <w:tblPr>
        <w:tblStyle w:val="TableGrid"/>
        <w:tblpPr w:leftFromText="180" w:rightFromText="180" w:vertAnchor="page" w:horzAnchor="margin" w:tblpXSpec="center" w:tblpY="6976"/>
        <w:tblW w:w="0" w:type="auto"/>
        <w:tblLook w:val="04A0" w:firstRow="1" w:lastRow="0" w:firstColumn="1" w:lastColumn="0" w:noHBand="0" w:noVBand="1"/>
      </w:tblPr>
      <w:tblGrid>
        <w:gridCol w:w="2697"/>
        <w:gridCol w:w="2805"/>
        <w:gridCol w:w="2697"/>
      </w:tblGrid>
      <w:tr w:rsidR="004A57E0" w:rsidTr="004A57E0">
        <w:trPr>
          <w:trHeight w:val="620"/>
        </w:trPr>
        <w:tc>
          <w:tcPr>
            <w:tcW w:w="2697" w:type="dxa"/>
          </w:tcPr>
          <w:p w:rsidR="004A57E0" w:rsidRPr="00AC621C" w:rsidRDefault="004A57E0" w:rsidP="004A5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Emerging &amp; Developing</w:t>
            </w:r>
          </w:p>
        </w:tc>
        <w:tc>
          <w:tcPr>
            <w:tcW w:w="2805" w:type="dxa"/>
          </w:tcPr>
          <w:p w:rsidR="004A57E0" w:rsidRPr="00AC621C" w:rsidRDefault="004A57E0" w:rsidP="004A5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697" w:type="dxa"/>
          </w:tcPr>
          <w:p w:rsidR="004A57E0" w:rsidRPr="0046401F" w:rsidRDefault="004A57E0" w:rsidP="004A5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01F">
              <w:rPr>
                <w:rFonts w:ascii="Arial" w:hAnsi="Arial" w:cs="Arial"/>
                <w:b/>
                <w:sz w:val="24"/>
                <w:szCs w:val="24"/>
              </w:rPr>
              <w:t>Extending</w:t>
            </w:r>
          </w:p>
        </w:tc>
      </w:tr>
      <w:tr w:rsidR="004A57E0" w:rsidTr="004A57E0">
        <w:trPr>
          <w:trHeight w:val="2484"/>
        </w:trPr>
        <w:tc>
          <w:tcPr>
            <w:tcW w:w="2697" w:type="dxa"/>
          </w:tcPr>
          <w:p w:rsidR="004A57E0" w:rsidRDefault="004A57E0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4A57E0" w:rsidRPr="00576266" w:rsidRDefault="004A57E0" w:rsidP="004A57E0">
            <w:pPr>
              <w:rPr>
                <w:rFonts w:ascii="Arial" w:hAnsi="Arial" w:cs="Arial"/>
              </w:rPr>
            </w:pPr>
          </w:p>
          <w:p w:rsidR="004A57E0" w:rsidRPr="00576266" w:rsidRDefault="00576266" w:rsidP="004A57E0">
            <w:pPr>
              <w:rPr>
                <w:rFonts w:ascii="Arial" w:hAnsi="Arial" w:cs="Arial"/>
                <w:b/>
                <w:i/>
              </w:rPr>
            </w:pPr>
            <w:r w:rsidRPr="00576266">
              <w:rPr>
                <w:rFonts w:ascii="Arial" w:hAnsi="Arial" w:cs="Arial"/>
                <w:b/>
                <w:i/>
              </w:rPr>
              <w:t>Risk-Taking:</w:t>
            </w:r>
          </w:p>
          <w:p w:rsidR="00576266" w:rsidRPr="00576266" w:rsidRDefault="00576266" w:rsidP="004A57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Students act upon first </w:t>
            </w:r>
            <w:r w:rsidR="00501F22">
              <w:rPr>
                <w:rFonts w:ascii="Arial" w:hAnsi="Arial" w:cs="Arial"/>
                <w:i/>
              </w:rPr>
              <w:t>ideas and</w:t>
            </w:r>
            <w:r>
              <w:rPr>
                <w:rFonts w:ascii="Arial" w:hAnsi="Arial" w:cs="Arial"/>
                <w:i/>
              </w:rPr>
              <w:t xml:space="preserve"> are spontaneous.  Ideas are very creative.  Student</w:t>
            </w:r>
            <w:r w:rsidR="00501F22">
              <w:rPr>
                <w:rFonts w:ascii="Arial" w:hAnsi="Arial" w:cs="Arial"/>
                <w:i/>
              </w:rPr>
              <w:t>s</w:t>
            </w:r>
            <w:r>
              <w:rPr>
                <w:rFonts w:ascii="Arial" w:hAnsi="Arial" w:cs="Arial"/>
                <w:i/>
              </w:rPr>
              <w:t xml:space="preserve"> say YES and do not block ideas within a scene.</w:t>
            </w:r>
          </w:p>
        </w:tc>
        <w:tc>
          <w:tcPr>
            <w:tcW w:w="2697" w:type="dxa"/>
          </w:tcPr>
          <w:p w:rsidR="004A57E0" w:rsidRDefault="004A57E0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7E0" w:rsidTr="004A57E0">
        <w:trPr>
          <w:trHeight w:val="2177"/>
        </w:trPr>
        <w:tc>
          <w:tcPr>
            <w:tcW w:w="2697" w:type="dxa"/>
          </w:tcPr>
          <w:p w:rsidR="004A57E0" w:rsidRDefault="004A57E0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4A57E0" w:rsidRPr="00576266" w:rsidRDefault="004A57E0" w:rsidP="004A57E0">
            <w:pPr>
              <w:rPr>
                <w:rFonts w:ascii="Arial" w:hAnsi="Arial" w:cs="Arial"/>
              </w:rPr>
            </w:pPr>
          </w:p>
          <w:p w:rsidR="004A57E0" w:rsidRPr="00576266" w:rsidRDefault="00576266" w:rsidP="004A57E0">
            <w:pPr>
              <w:rPr>
                <w:rFonts w:ascii="Arial" w:hAnsi="Arial" w:cs="Arial"/>
                <w:b/>
                <w:i/>
              </w:rPr>
            </w:pPr>
            <w:r w:rsidRPr="00576266">
              <w:rPr>
                <w:rFonts w:ascii="Arial" w:hAnsi="Arial" w:cs="Arial"/>
                <w:b/>
                <w:i/>
              </w:rPr>
              <w:t>Status:</w:t>
            </w:r>
          </w:p>
          <w:p w:rsidR="00576266" w:rsidRPr="00576266" w:rsidRDefault="00576266" w:rsidP="004A57E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Students illustrate various status levels dynamically- both physically and emotionally- within character creation.</w:t>
            </w:r>
          </w:p>
          <w:p w:rsidR="004A57E0" w:rsidRPr="00576266" w:rsidRDefault="004A57E0" w:rsidP="004A57E0">
            <w:pPr>
              <w:rPr>
                <w:rFonts w:ascii="Arial" w:hAnsi="Arial" w:cs="Arial"/>
                <w:i/>
              </w:rPr>
            </w:pPr>
          </w:p>
        </w:tc>
        <w:tc>
          <w:tcPr>
            <w:tcW w:w="2697" w:type="dxa"/>
          </w:tcPr>
          <w:p w:rsidR="004A57E0" w:rsidRDefault="004A57E0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57E0" w:rsidTr="004A57E0">
        <w:trPr>
          <w:trHeight w:val="2420"/>
        </w:trPr>
        <w:tc>
          <w:tcPr>
            <w:tcW w:w="2697" w:type="dxa"/>
          </w:tcPr>
          <w:p w:rsidR="004A57E0" w:rsidRDefault="004A57E0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576266" w:rsidRDefault="00576266" w:rsidP="004A57E0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  <w:p w:rsidR="004A57E0" w:rsidRPr="00576266" w:rsidRDefault="00576266" w:rsidP="004A57E0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76266">
              <w:rPr>
                <w:rFonts w:ascii="Arial" w:hAnsi="Arial" w:cs="Arial"/>
                <w:b/>
                <w:i/>
                <w:shd w:val="clear" w:color="auto" w:fill="FFFFFF"/>
              </w:rPr>
              <w:t>Endowment:</w:t>
            </w:r>
          </w:p>
          <w:p w:rsidR="00576266" w:rsidRPr="00576266" w:rsidRDefault="00576266" w:rsidP="004A57E0">
            <w:pPr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 xml:space="preserve">Students </w:t>
            </w:r>
            <w:proofErr w:type="gramStart"/>
            <w:r>
              <w:rPr>
                <w:rFonts w:ascii="Arial" w:hAnsi="Arial" w:cs="Arial"/>
                <w:i/>
                <w:shd w:val="clear" w:color="auto" w:fill="FFFFFF"/>
              </w:rPr>
              <w:t>are able to</w:t>
            </w:r>
            <w:proofErr w:type="gramEnd"/>
            <w:r>
              <w:rPr>
                <w:rFonts w:ascii="Arial" w:hAnsi="Arial" w:cs="Arial"/>
                <w:i/>
                <w:shd w:val="clear" w:color="auto" w:fill="FFFFFF"/>
              </w:rPr>
              <w:t xml:space="preserve"> endow other students with spontaneous character that adds to the creation of a scene.  They are also able to be endowed with characters and traits and continue the progress of a </w:t>
            </w:r>
            <w:r>
              <w:rPr>
                <w:rFonts w:ascii="Arial" w:hAnsi="Arial" w:cs="Arial"/>
                <w:i/>
                <w:shd w:val="clear" w:color="auto" w:fill="FFFFFF"/>
              </w:rPr>
              <w:lastRenderedPageBreak/>
              <w:t>scene within that endowment.</w:t>
            </w:r>
          </w:p>
        </w:tc>
        <w:tc>
          <w:tcPr>
            <w:tcW w:w="2697" w:type="dxa"/>
          </w:tcPr>
          <w:p w:rsidR="004A57E0" w:rsidRDefault="004A57E0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266" w:rsidTr="004A57E0">
        <w:trPr>
          <w:trHeight w:val="2420"/>
        </w:trPr>
        <w:tc>
          <w:tcPr>
            <w:tcW w:w="2697" w:type="dxa"/>
          </w:tcPr>
          <w:p w:rsidR="00576266" w:rsidRDefault="00576266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576266" w:rsidRDefault="00576266" w:rsidP="004A57E0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  <w:p w:rsidR="00576266" w:rsidRPr="00576266" w:rsidRDefault="00576266" w:rsidP="004A57E0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76266">
              <w:rPr>
                <w:rFonts w:ascii="Arial" w:hAnsi="Arial" w:cs="Arial"/>
                <w:b/>
                <w:i/>
                <w:shd w:val="clear" w:color="auto" w:fill="FFFFFF"/>
              </w:rPr>
              <w:t>Raising the Stakes:</w:t>
            </w:r>
          </w:p>
          <w:p w:rsidR="00576266" w:rsidRPr="00576266" w:rsidRDefault="00576266" w:rsidP="004A57E0">
            <w:pPr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 xml:space="preserve">Students </w:t>
            </w:r>
            <w:proofErr w:type="gramStart"/>
            <w:r>
              <w:rPr>
                <w:rFonts w:ascii="Arial" w:hAnsi="Arial" w:cs="Arial"/>
                <w:i/>
                <w:shd w:val="clear" w:color="auto" w:fill="FFFFFF"/>
              </w:rPr>
              <w:t>are able to</w:t>
            </w:r>
            <w:proofErr w:type="gramEnd"/>
            <w:r>
              <w:rPr>
                <w:rFonts w:ascii="Arial" w:hAnsi="Arial" w:cs="Arial"/>
                <w:i/>
                <w:shd w:val="clear" w:color="auto" w:fill="FFFFFF"/>
              </w:rPr>
              <w:t xml:space="preserve"> take scenes to the next level by directly dealing with a conflict and then raising the stakes of the scene by bringing in new information.</w:t>
            </w:r>
          </w:p>
        </w:tc>
        <w:tc>
          <w:tcPr>
            <w:tcW w:w="2697" w:type="dxa"/>
          </w:tcPr>
          <w:p w:rsidR="00576266" w:rsidRDefault="00576266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6266" w:rsidTr="004A57E0">
        <w:trPr>
          <w:trHeight w:val="2420"/>
        </w:trPr>
        <w:tc>
          <w:tcPr>
            <w:tcW w:w="2697" w:type="dxa"/>
          </w:tcPr>
          <w:p w:rsidR="00576266" w:rsidRDefault="00576266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576266" w:rsidRDefault="00576266" w:rsidP="004A57E0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  <w:p w:rsidR="00576266" w:rsidRPr="00576266" w:rsidRDefault="00576266" w:rsidP="004A57E0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76266">
              <w:rPr>
                <w:rFonts w:ascii="Arial" w:hAnsi="Arial" w:cs="Arial"/>
                <w:b/>
                <w:i/>
                <w:shd w:val="clear" w:color="auto" w:fill="FFFFFF"/>
              </w:rPr>
              <w:t>Story Structure:</w:t>
            </w:r>
          </w:p>
          <w:p w:rsidR="00576266" w:rsidRPr="00576266" w:rsidRDefault="00576266" w:rsidP="004A57E0">
            <w:pPr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 xml:space="preserve">Students </w:t>
            </w:r>
            <w:proofErr w:type="gramStart"/>
            <w:r>
              <w:rPr>
                <w:rFonts w:ascii="Arial" w:hAnsi="Arial" w:cs="Arial"/>
                <w:i/>
                <w:shd w:val="clear" w:color="auto" w:fill="FFFFFF"/>
              </w:rPr>
              <w:t>are able to</w:t>
            </w:r>
            <w:proofErr w:type="gramEnd"/>
            <w:r>
              <w:rPr>
                <w:rFonts w:ascii="Arial" w:hAnsi="Arial" w:cs="Arial"/>
                <w:i/>
                <w:shd w:val="clear" w:color="auto" w:fill="FFFFFF"/>
              </w:rPr>
              <w:t xml:space="preserve"> create strong performance scenes with a beginning, middle and an end, that creatively incorporate “ask-</w:t>
            </w:r>
            <w:proofErr w:type="spellStart"/>
            <w:r>
              <w:rPr>
                <w:rFonts w:ascii="Arial" w:hAnsi="Arial" w:cs="Arial"/>
                <w:i/>
                <w:shd w:val="clear" w:color="auto" w:fill="FFFFFF"/>
              </w:rPr>
              <w:t>fors</w:t>
            </w:r>
            <w:proofErr w:type="spellEnd"/>
            <w:r>
              <w:rPr>
                <w:rFonts w:ascii="Arial" w:hAnsi="Arial" w:cs="Arial"/>
                <w:i/>
                <w:shd w:val="clear" w:color="auto" w:fill="FFFFFF"/>
              </w:rPr>
              <w:t>”, involve a conflict, and fully develop a character/s.</w:t>
            </w:r>
          </w:p>
        </w:tc>
        <w:tc>
          <w:tcPr>
            <w:tcW w:w="2697" w:type="dxa"/>
          </w:tcPr>
          <w:p w:rsidR="00576266" w:rsidRDefault="00576266" w:rsidP="004A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F04" w:rsidRPr="00F11F04" w:rsidRDefault="00F11F04">
      <w:pPr>
        <w:rPr>
          <w:rFonts w:ascii="Arial" w:hAnsi="Arial" w:cs="Arial"/>
          <w:sz w:val="24"/>
          <w:szCs w:val="24"/>
          <w:u w:val="single"/>
        </w:rPr>
      </w:pPr>
    </w:p>
    <w:bookmarkEnd w:id="0"/>
    <w:p w:rsidR="004A57E0" w:rsidRDefault="004A57E0">
      <w:pPr>
        <w:rPr>
          <w:rFonts w:ascii="Arial" w:hAnsi="Arial" w:cs="Arial"/>
          <w:sz w:val="24"/>
          <w:szCs w:val="24"/>
        </w:rPr>
      </w:pPr>
    </w:p>
    <w:p w:rsidR="00AC621C" w:rsidRDefault="00AC621C" w:rsidP="004A57E0">
      <w:pPr>
        <w:rPr>
          <w:rFonts w:ascii="Arial" w:hAnsi="Arial" w:cs="Arial"/>
          <w:b/>
          <w:sz w:val="28"/>
          <w:szCs w:val="28"/>
          <w:u w:val="single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b/>
          <w:sz w:val="28"/>
          <w:szCs w:val="28"/>
          <w:u w:val="single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p w:rsidR="00E52265" w:rsidRDefault="00E52265" w:rsidP="00E522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29"/>
        <w:tblW w:w="0" w:type="auto"/>
        <w:tblLook w:val="04A0" w:firstRow="1" w:lastRow="0" w:firstColumn="1" w:lastColumn="0" w:noHBand="0" w:noVBand="1"/>
      </w:tblPr>
      <w:tblGrid>
        <w:gridCol w:w="2697"/>
        <w:gridCol w:w="2805"/>
        <w:gridCol w:w="2697"/>
      </w:tblGrid>
      <w:tr w:rsidR="00E52265" w:rsidTr="00E52265">
        <w:trPr>
          <w:trHeight w:val="620"/>
        </w:trPr>
        <w:tc>
          <w:tcPr>
            <w:tcW w:w="2697" w:type="dxa"/>
          </w:tcPr>
          <w:p w:rsidR="00E52265" w:rsidRPr="00AC621C" w:rsidRDefault="00E52265" w:rsidP="00E52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Emerging &amp; Developing</w:t>
            </w:r>
          </w:p>
        </w:tc>
        <w:tc>
          <w:tcPr>
            <w:tcW w:w="2805" w:type="dxa"/>
          </w:tcPr>
          <w:p w:rsidR="00E52265" w:rsidRPr="00AC621C" w:rsidRDefault="00E52265" w:rsidP="00E52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Proficient</w:t>
            </w:r>
          </w:p>
        </w:tc>
        <w:tc>
          <w:tcPr>
            <w:tcW w:w="2697" w:type="dxa"/>
          </w:tcPr>
          <w:p w:rsidR="00E52265" w:rsidRPr="0046401F" w:rsidRDefault="00E52265" w:rsidP="00E522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401F">
              <w:rPr>
                <w:rFonts w:ascii="Arial" w:hAnsi="Arial" w:cs="Arial"/>
                <w:b/>
                <w:sz w:val="24"/>
                <w:szCs w:val="24"/>
              </w:rPr>
              <w:t>Extending</w:t>
            </w:r>
          </w:p>
        </w:tc>
      </w:tr>
      <w:tr w:rsidR="00E52265" w:rsidTr="00E52265">
        <w:trPr>
          <w:trHeight w:val="2484"/>
        </w:trPr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E52265" w:rsidRPr="00576266" w:rsidRDefault="00E52265" w:rsidP="00E52265">
            <w:pPr>
              <w:rPr>
                <w:rFonts w:ascii="Arial" w:hAnsi="Arial" w:cs="Arial"/>
              </w:rPr>
            </w:pPr>
          </w:p>
          <w:p w:rsidR="00E52265" w:rsidRPr="00576266" w:rsidRDefault="00E52265" w:rsidP="00E52265">
            <w:pPr>
              <w:rPr>
                <w:rFonts w:ascii="Arial" w:hAnsi="Arial" w:cs="Arial"/>
                <w:b/>
                <w:i/>
              </w:rPr>
            </w:pPr>
            <w:r w:rsidRPr="00576266">
              <w:rPr>
                <w:rFonts w:ascii="Arial" w:hAnsi="Arial" w:cs="Arial"/>
                <w:b/>
                <w:i/>
              </w:rPr>
              <w:t>Risk-Taking:</w:t>
            </w:r>
          </w:p>
          <w:p w:rsidR="00E52265" w:rsidRPr="00576266" w:rsidRDefault="00E52265" w:rsidP="00E522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Students act upon first ideas and are spontaneous.  Ideas are very creative.  Students say YES and do not block ideas within a scene.</w:t>
            </w:r>
          </w:p>
        </w:tc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65" w:rsidTr="00E52265">
        <w:trPr>
          <w:trHeight w:val="2177"/>
        </w:trPr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E52265" w:rsidRPr="00576266" w:rsidRDefault="00E52265" w:rsidP="00E52265">
            <w:pPr>
              <w:rPr>
                <w:rFonts w:ascii="Arial" w:hAnsi="Arial" w:cs="Arial"/>
              </w:rPr>
            </w:pPr>
          </w:p>
          <w:p w:rsidR="00E52265" w:rsidRPr="00576266" w:rsidRDefault="00E52265" w:rsidP="00E52265">
            <w:pPr>
              <w:rPr>
                <w:rFonts w:ascii="Arial" w:hAnsi="Arial" w:cs="Arial"/>
                <w:b/>
                <w:i/>
              </w:rPr>
            </w:pPr>
            <w:r w:rsidRPr="00576266">
              <w:rPr>
                <w:rFonts w:ascii="Arial" w:hAnsi="Arial" w:cs="Arial"/>
                <w:b/>
                <w:i/>
              </w:rPr>
              <w:t>Status:</w:t>
            </w:r>
          </w:p>
          <w:p w:rsidR="00E52265" w:rsidRPr="00576266" w:rsidRDefault="00E52265" w:rsidP="00E5226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Students illustrate various status levels dynamically- both physically and emotionally- within character creation.</w:t>
            </w:r>
          </w:p>
          <w:p w:rsidR="00E52265" w:rsidRPr="00576266" w:rsidRDefault="00E52265" w:rsidP="00E52265">
            <w:pPr>
              <w:rPr>
                <w:rFonts w:ascii="Arial" w:hAnsi="Arial" w:cs="Arial"/>
                <w:i/>
              </w:rPr>
            </w:pPr>
          </w:p>
        </w:tc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65" w:rsidTr="00E52265">
        <w:trPr>
          <w:trHeight w:val="2420"/>
        </w:trPr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E52265" w:rsidRDefault="00E52265" w:rsidP="00E52265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  <w:p w:rsidR="00E52265" w:rsidRPr="00576266" w:rsidRDefault="00E52265" w:rsidP="00E52265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76266">
              <w:rPr>
                <w:rFonts w:ascii="Arial" w:hAnsi="Arial" w:cs="Arial"/>
                <w:b/>
                <w:i/>
                <w:shd w:val="clear" w:color="auto" w:fill="FFFFFF"/>
              </w:rPr>
              <w:t>Endowment:</w:t>
            </w:r>
          </w:p>
          <w:p w:rsidR="00E52265" w:rsidRPr="00576266" w:rsidRDefault="00E52265" w:rsidP="00E52265">
            <w:pPr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 xml:space="preserve">Students </w:t>
            </w:r>
            <w:proofErr w:type="gramStart"/>
            <w:r>
              <w:rPr>
                <w:rFonts w:ascii="Arial" w:hAnsi="Arial" w:cs="Arial"/>
                <w:i/>
                <w:shd w:val="clear" w:color="auto" w:fill="FFFFFF"/>
              </w:rPr>
              <w:t>are able to</w:t>
            </w:r>
            <w:proofErr w:type="gramEnd"/>
            <w:r>
              <w:rPr>
                <w:rFonts w:ascii="Arial" w:hAnsi="Arial" w:cs="Arial"/>
                <w:i/>
                <w:shd w:val="clear" w:color="auto" w:fill="FFFFFF"/>
              </w:rPr>
              <w:t xml:space="preserve"> endow other students with spontaneous character that adds to the creation of a scene.  They are also able to be endowed with characters and traits and continue the progress of a scene within that endowment.</w:t>
            </w:r>
          </w:p>
        </w:tc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65" w:rsidTr="00E52265">
        <w:trPr>
          <w:trHeight w:val="2420"/>
        </w:trPr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E52265" w:rsidRDefault="00E52265" w:rsidP="00E52265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  <w:p w:rsidR="00E52265" w:rsidRPr="00576266" w:rsidRDefault="00E52265" w:rsidP="00E52265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76266">
              <w:rPr>
                <w:rFonts w:ascii="Arial" w:hAnsi="Arial" w:cs="Arial"/>
                <w:b/>
                <w:i/>
                <w:shd w:val="clear" w:color="auto" w:fill="FFFFFF"/>
              </w:rPr>
              <w:t>Raising the Stakes:</w:t>
            </w:r>
          </w:p>
          <w:p w:rsidR="00E52265" w:rsidRPr="00576266" w:rsidRDefault="00E52265" w:rsidP="00E52265">
            <w:pPr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 xml:space="preserve">Students </w:t>
            </w:r>
            <w:proofErr w:type="gramStart"/>
            <w:r>
              <w:rPr>
                <w:rFonts w:ascii="Arial" w:hAnsi="Arial" w:cs="Arial"/>
                <w:i/>
                <w:shd w:val="clear" w:color="auto" w:fill="FFFFFF"/>
              </w:rPr>
              <w:t>are able to</w:t>
            </w:r>
            <w:proofErr w:type="gramEnd"/>
            <w:r>
              <w:rPr>
                <w:rFonts w:ascii="Arial" w:hAnsi="Arial" w:cs="Arial"/>
                <w:i/>
                <w:shd w:val="clear" w:color="auto" w:fill="FFFFFF"/>
              </w:rPr>
              <w:t xml:space="preserve"> take scenes to the next level by directly dealing with a conflict and then raising the stakes of the scene by bringing in new information.</w:t>
            </w:r>
          </w:p>
        </w:tc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2265" w:rsidTr="00E52265">
        <w:trPr>
          <w:trHeight w:val="2420"/>
        </w:trPr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5" w:type="dxa"/>
          </w:tcPr>
          <w:p w:rsidR="00E52265" w:rsidRDefault="00E52265" w:rsidP="00E52265">
            <w:pPr>
              <w:rPr>
                <w:rFonts w:ascii="Arial" w:hAnsi="Arial" w:cs="Arial"/>
                <w:i/>
                <w:shd w:val="clear" w:color="auto" w:fill="FFFFFF"/>
              </w:rPr>
            </w:pPr>
          </w:p>
          <w:p w:rsidR="00E52265" w:rsidRPr="00576266" w:rsidRDefault="00E52265" w:rsidP="00E52265">
            <w:pPr>
              <w:rPr>
                <w:rFonts w:ascii="Arial" w:hAnsi="Arial" w:cs="Arial"/>
                <w:b/>
                <w:i/>
                <w:shd w:val="clear" w:color="auto" w:fill="FFFFFF"/>
              </w:rPr>
            </w:pPr>
            <w:r w:rsidRPr="00576266">
              <w:rPr>
                <w:rFonts w:ascii="Arial" w:hAnsi="Arial" w:cs="Arial"/>
                <w:b/>
                <w:i/>
                <w:shd w:val="clear" w:color="auto" w:fill="FFFFFF"/>
              </w:rPr>
              <w:t>Story Structure:</w:t>
            </w:r>
          </w:p>
          <w:p w:rsidR="00E52265" w:rsidRPr="00576266" w:rsidRDefault="00E52265" w:rsidP="00E52265">
            <w:pPr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 xml:space="preserve">Students </w:t>
            </w:r>
            <w:proofErr w:type="gramStart"/>
            <w:r>
              <w:rPr>
                <w:rFonts w:ascii="Arial" w:hAnsi="Arial" w:cs="Arial"/>
                <w:i/>
                <w:shd w:val="clear" w:color="auto" w:fill="FFFFFF"/>
              </w:rPr>
              <w:t>are able to</w:t>
            </w:r>
            <w:proofErr w:type="gramEnd"/>
            <w:r>
              <w:rPr>
                <w:rFonts w:ascii="Arial" w:hAnsi="Arial" w:cs="Arial"/>
                <w:i/>
                <w:shd w:val="clear" w:color="auto" w:fill="FFFFFF"/>
              </w:rPr>
              <w:t xml:space="preserve"> create strong performance scenes with a beginning, middle and an end, that creatively incorporate “ask-</w:t>
            </w:r>
            <w:proofErr w:type="spellStart"/>
            <w:r>
              <w:rPr>
                <w:rFonts w:ascii="Arial" w:hAnsi="Arial" w:cs="Arial"/>
                <w:i/>
                <w:shd w:val="clear" w:color="auto" w:fill="FFFFFF"/>
              </w:rPr>
              <w:t>fors</w:t>
            </w:r>
            <w:proofErr w:type="spellEnd"/>
            <w:r>
              <w:rPr>
                <w:rFonts w:ascii="Arial" w:hAnsi="Arial" w:cs="Arial"/>
                <w:i/>
                <w:shd w:val="clear" w:color="auto" w:fill="FFFFFF"/>
              </w:rPr>
              <w:t>”, involve a conflict, and fully develop a character/s.</w:t>
            </w:r>
          </w:p>
        </w:tc>
        <w:tc>
          <w:tcPr>
            <w:tcW w:w="2697" w:type="dxa"/>
          </w:tcPr>
          <w:p w:rsidR="00E52265" w:rsidRDefault="00E52265" w:rsidP="00E522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2265" w:rsidRPr="00F11F04" w:rsidRDefault="00E52265" w:rsidP="00E52265">
      <w:pPr>
        <w:rPr>
          <w:rFonts w:ascii="Arial" w:hAnsi="Arial" w:cs="Arial"/>
          <w:sz w:val="24"/>
          <w:szCs w:val="24"/>
          <w:u w:val="single"/>
        </w:rPr>
      </w:pPr>
    </w:p>
    <w:p w:rsidR="00E52265" w:rsidRDefault="00E52265" w:rsidP="00E52265">
      <w:pPr>
        <w:rPr>
          <w:rFonts w:ascii="Arial" w:hAnsi="Arial" w:cs="Arial"/>
          <w:sz w:val="24"/>
          <w:szCs w:val="24"/>
        </w:rPr>
      </w:pPr>
    </w:p>
    <w:p w:rsidR="00E52265" w:rsidRPr="00AC621C" w:rsidRDefault="00E52265" w:rsidP="00E52265">
      <w:pPr>
        <w:rPr>
          <w:rFonts w:ascii="Arial" w:hAnsi="Arial" w:cs="Arial"/>
          <w:b/>
          <w:sz w:val="28"/>
          <w:szCs w:val="28"/>
          <w:u w:val="single"/>
        </w:rPr>
      </w:pPr>
    </w:p>
    <w:p w:rsidR="00E52265" w:rsidRPr="00E52265" w:rsidRDefault="00E52265" w:rsidP="00E52265">
      <w:pPr>
        <w:rPr>
          <w:rFonts w:ascii="Arial" w:hAnsi="Arial" w:cs="Arial"/>
          <w:sz w:val="28"/>
          <w:szCs w:val="28"/>
        </w:rPr>
      </w:pPr>
    </w:p>
    <w:sectPr w:rsidR="00E52265" w:rsidRPr="00E52265" w:rsidSect="00E522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04"/>
    <w:rsid w:val="002A2D6F"/>
    <w:rsid w:val="0046401F"/>
    <w:rsid w:val="00480B39"/>
    <w:rsid w:val="00483FCB"/>
    <w:rsid w:val="004A57E0"/>
    <w:rsid w:val="00501F22"/>
    <w:rsid w:val="00576266"/>
    <w:rsid w:val="00727901"/>
    <w:rsid w:val="00855FEA"/>
    <w:rsid w:val="0090107F"/>
    <w:rsid w:val="00AC621C"/>
    <w:rsid w:val="00C0344D"/>
    <w:rsid w:val="00CE1801"/>
    <w:rsid w:val="00DC28A8"/>
    <w:rsid w:val="00E52265"/>
    <w:rsid w:val="00EB5E8F"/>
    <w:rsid w:val="00F11F04"/>
    <w:rsid w:val="00F351DD"/>
    <w:rsid w:val="00F9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0345"/>
  <w15:chartTrackingRefBased/>
  <w15:docId w15:val="{3FA733F9-A796-4EEE-80F0-3F98D5F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F04"/>
    <w:rPr>
      <w:color w:val="0000FF"/>
      <w:u w:val="single"/>
    </w:rPr>
  </w:style>
  <w:style w:type="table" w:styleId="TableGrid">
    <w:name w:val="Table Grid"/>
    <w:basedOn w:val="TableNormal"/>
    <w:uiPriority w:val="39"/>
    <w:rsid w:val="00AC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rriculum.gov.bc.ca/curriculum/arts-education/11/dra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Mcallister</dc:creator>
  <cp:keywords/>
  <dc:description/>
  <cp:lastModifiedBy>Cristina Mcallister</cp:lastModifiedBy>
  <cp:revision>4</cp:revision>
  <cp:lastPrinted>2022-03-08T17:57:00Z</cp:lastPrinted>
  <dcterms:created xsi:type="dcterms:W3CDTF">2022-03-07T20:54:00Z</dcterms:created>
  <dcterms:modified xsi:type="dcterms:W3CDTF">2022-03-08T18:00:00Z</dcterms:modified>
</cp:coreProperties>
</file>